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jc w:val="both"/>
        <w:rPr>
          <w:rFonts w:hint="default" w:ascii="方正小标宋简体" w:hAnsi="黑体" w:eastAsia="方正小标宋简体" w:cs="黑体"/>
          <w:color w:val="auto"/>
          <w:sz w:val="36"/>
          <w:szCs w:val="36"/>
          <w:lang w:val="en-US" w:eastAsia="zh-CN"/>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color w:val="auto"/>
          <w:sz w:val="36"/>
          <w:szCs w:val="36"/>
          <w:lang w:val="en-US" w:eastAsia="zh-CN"/>
        </w:rPr>
        <w:t>医用压缩式雾化机</w:t>
      </w:r>
    </w:p>
    <w:p w14:paraId="68177528">
      <w:pPr>
        <w:spacing w:line="360" w:lineRule="auto"/>
        <w:ind w:firstLine="1440" w:firstLineChars="400"/>
        <w:jc w:val="both"/>
        <w:rPr>
          <w:rFonts w:hint="eastAsia" w:ascii="方正小标宋简体" w:hAnsi="黑体" w:eastAsia="方正小标宋简体" w:cs="黑体"/>
          <w:color w:val="auto"/>
          <w:sz w:val="36"/>
          <w:szCs w:val="36"/>
        </w:rPr>
      </w:pPr>
    </w:p>
    <w:p w14:paraId="66F668E1">
      <w:pPr>
        <w:spacing w:line="360" w:lineRule="auto"/>
        <w:ind w:firstLine="1440" w:firstLineChars="400"/>
        <w:jc w:val="both"/>
        <w:rPr>
          <w:rFonts w:hint="default" w:ascii="方正小标宋简体" w:eastAsiaTheme="minorEastAsia"/>
          <w:color w:val="auto"/>
          <w:sz w:val="36"/>
          <w:szCs w:val="36"/>
          <w:lang w:val="en-US" w:eastAsia="zh-CN"/>
        </w:rPr>
      </w:pPr>
      <w:r>
        <w:rPr>
          <w:rFonts w:hint="eastAsia" w:ascii="方正小标宋简体" w:hAnsi="黑体" w:eastAsia="方正小标宋简体" w:cs="黑体"/>
          <w:color w:val="auto"/>
          <w:sz w:val="36"/>
          <w:szCs w:val="36"/>
        </w:rPr>
        <w:t>项目编号：</w:t>
      </w:r>
      <w:r>
        <w:rPr>
          <w:rFonts w:cs="宋体" w:asciiTheme="minorEastAsia" w:hAnsiTheme="minorEastAsia" w:eastAsiaTheme="minorEastAsia"/>
          <w:b/>
          <w:bCs/>
          <w:color w:val="auto"/>
          <w:sz w:val="28"/>
          <w:szCs w:val="28"/>
        </w:rPr>
        <w:t>MYFY</w:t>
      </w:r>
      <w:r>
        <w:rPr>
          <w:rFonts w:hint="eastAsia" w:cs="宋体" w:asciiTheme="minorEastAsia" w:hAnsiTheme="minorEastAsia" w:eastAsiaTheme="minorEastAsia"/>
          <w:b/>
          <w:bCs/>
          <w:color w:val="auto"/>
          <w:sz w:val="28"/>
          <w:szCs w:val="28"/>
          <w:lang w:val="en-US" w:eastAsia="zh-CN"/>
        </w:rPr>
        <w:t>CG</w:t>
      </w:r>
      <w:r>
        <w:rPr>
          <w:rFonts w:cs="宋体" w:asciiTheme="minorEastAsia" w:hAnsiTheme="minorEastAsia" w:eastAsiaTheme="minorEastAsia"/>
          <w:b/>
          <w:bCs/>
          <w:color w:val="auto"/>
          <w:sz w:val="28"/>
          <w:szCs w:val="28"/>
        </w:rPr>
        <w:t>202</w:t>
      </w:r>
      <w:r>
        <w:rPr>
          <w:rFonts w:hint="eastAsia" w:cs="宋体" w:asciiTheme="minorEastAsia" w:hAnsiTheme="minorEastAsia" w:eastAsiaTheme="minorEastAsia"/>
          <w:b/>
          <w:bCs/>
          <w:color w:val="auto"/>
          <w:sz w:val="28"/>
          <w:szCs w:val="28"/>
          <w:lang w:val="en-US" w:eastAsia="zh-CN"/>
        </w:rPr>
        <w:t>607</w:t>
      </w:r>
      <w:r>
        <w:rPr>
          <w:rFonts w:cs="宋体" w:asciiTheme="minorEastAsia" w:hAnsiTheme="minorEastAsia" w:eastAsiaTheme="minorEastAsia"/>
          <w:b/>
          <w:bCs/>
          <w:color w:val="auto"/>
          <w:sz w:val="28"/>
          <w:szCs w:val="28"/>
        </w:rPr>
        <w:t>-0</w:t>
      </w:r>
      <w:r>
        <w:rPr>
          <w:rFonts w:hint="eastAsia" w:cs="宋体" w:asciiTheme="minorEastAsia" w:hAnsiTheme="minorEastAsia" w:eastAsiaTheme="minorEastAsia"/>
          <w:b/>
          <w:bCs/>
          <w:color w:val="auto"/>
          <w:sz w:val="28"/>
          <w:szCs w:val="28"/>
          <w:lang w:val="en-US" w:eastAsia="zh-CN"/>
        </w:rPr>
        <w:t>7BX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07</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bookmarkStart w:id="12" w:name="_GoBack"/>
      <w:bookmarkEnd w:id="12"/>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cs="仿宋" w:asciiTheme="minorEastAsia" w:hAnsiTheme="minorEastAsia" w:eastAsiaTheme="minorEastAsia"/>
          <w:color w:val="auto"/>
          <w:sz w:val="28"/>
          <w:szCs w:val="28"/>
          <w:lang w:val="en-US" w:eastAsia="zh-CN"/>
        </w:rPr>
        <w:t>医用压缩式雾化机</w:t>
      </w:r>
      <w:r>
        <w:rPr>
          <w:rFonts w:cs="仿宋" w:asciiTheme="minorEastAsia" w:hAnsiTheme="minorEastAsia" w:eastAsiaTheme="minorEastAsia"/>
          <w:color w:val="auto"/>
          <w:sz w:val="28"/>
          <w:szCs w:val="28"/>
        </w:rPr>
        <w:t>进行比选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4C30A615">
      <w:pPr>
        <w:numPr>
          <w:ilvl w:val="0"/>
          <w:numId w:val="1"/>
        </w:numPr>
        <w:spacing w:line="360" w:lineRule="auto"/>
        <w:ind w:left="40" w:firstLine="562" w:firstLineChars="200"/>
        <w:jc w:val="both"/>
        <w:rPr>
          <w:rFonts w:hint="default"/>
          <w:lang w:val="en-US" w:eastAsia="zh-CN"/>
        </w:rPr>
      </w:pPr>
      <w:r>
        <w:rPr>
          <w:rFonts w:hint="eastAsia" w:cs="宋体" w:asciiTheme="minorEastAsia" w:hAnsiTheme="minorEastAsia" w:eastAsiaTheme="minorEastAsia"/>
          <w:b/>
          <w:bCs/>
          <w:color w:val="auto"/>
          <w:sz w:val="28"/>
          <w:szCs w:val="28"/>
        </w:rPr>
        <w:t>采购内容及技术服务要求</w:t>
      </w:r>
    </w:p>
    <w:tbl>
      <w:tblPr>
        <w:tblStyle w:val="13"/>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625"/>
        <w:gridCol w:w="6434"/>
        <w:gridCol w:w="1081"/>
      </w:tblGrid>
      <w:tr w14:paraId="0F7E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10" w:type="dxa"/>
            <w:vAlign w:val="center"/>
          </w:tcPr>
          <w:p w14:paraId="74319B6B">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rPr>
              <w:t>使用</w:t>
            </w:r>
            <w:r>
              <w:rPr>
                <w:rFonts w:hint="eastAsia" w:cs="宋体" w:asciiTheme="minorEastAsia" w:hAnsiTheme="minorEastAsia" w:eastAsiaTheme="minorEastAsia"/>
                <w:b/>
                <w:color w:val="auto"/>
                <w:sz w:val="28"/>
                <w:szCs w:val="28"/>
                <w:lang w:val="en-US" w:eastAsia="zh-CN"/>
              </w:rPr>
              <w:t>科室</w:t>
            </w:r>
          </w:p>
        </w:tc>
        <w:tc>
          <w:tcPr>
            <w:tcW w:w="625" w:type="dxa"/>
            <w:vAlign w:val="center"/>
          </w:tcPr>
          <w:p w14:paraId="22621820">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lang w:val="en-US" w:eastAsia="zh-CN"/>
              </w:rPr>
              <w:t>采购内容</w:t>
            </w:r>
          </w:p>
        </w:tc>
        <w:tc>
          <w:tcPr>
            <w:tcW w:w="6434" w:type="dxa"/>
            <w:vAlign w:val="center"/>
          </w:tcPr>
          <w:p w14:paraId="639B056F">
            <w:pPr>
              <w:snapToGrid w:val="0"/>
              <w:spacing w:line="240" w:lineRule="auto"/>
              <w:ind w:left="0" w:leftChars="0" w:right="0" w:rightChars="0" w:firstLine="0" w:firstLineChars="0"/>
              <w:jc w:val="center"/>
              <w:rPr>
                <w:rFonts w:hint="default"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lang w:val="en-US" w:eastAsia="zh-CN"/>
              </w:rPr>
              <w:t>规格参数及要求</w:t>
            </w:r>
          </w:p>
        </w:tc>
        <w:tc>
          <w:tcPr>
            <w:tcW w:w="1081" w:type="dxa"/>
            <w:vAlign w:val="center"/>
          </w:tcPr>
          <w:p w14:paraId="2DD473E9">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采购数量</w:t>
            </w:r>
          </w:p>
        </w:tc>
      </w:tr>
      <w:tr w14:paraId="36B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vAlign w:val="center"/>
          </w:tcPr>
          <w:p w14:paraId="50553164">
            <w:pPr>
              <w:snapToGrid w:val="0"/>
              <w:spacing w:line="240" w:lineRule="auto"/>
              <w:ind w:left="0" w:leftChars="0" w:right="0" w:rightChars="0" w:firstLine="0" w:firstLineChars="0"/>
              <w:jc w:val="left"/>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儿科、全科医学科</w:t>
            </w:r>
          </w:p>
        </w:tc>
        <w:tc>
          <w:tcPr>
            <w:tcW w:w="625" w:type="dxa"/>
            <w:vAlign w:val="center"/>
          </w:tcPr>
          <w:p w14:paraId="36699BD6">
            <w:pPr>
              <w:snapToGrid w:val="0"/>
              <w:spacing w:line="240" w:lineRule="auto"/>
              <w:ind w:left="0" w:leftChars="0" w:right="0" w:rightChars="0" w:firstLine="0" w:firstLineChars="0"/>
              <w:jc w:val="left"/>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医用压缩式雾化机</w:t>
            </w:r>
          </w:p>
        </w:tc>
        <w:tc>
          <w:tcPr>
            <w:tcW w:w="6434" w:type="dxa"/>
            <w:vAlign w:val="center"/>
          </w:tcPr>
          <w:p w14:paraId="0C01A620">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1.压缩式独立雾化设计，设备无需外接供氧；</w:t>
            </w:r>
          </w:p>
          <w:p w14:paraId="7CBCF0A9">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2.最大雾化率≥0.2ml/min；</w:t>
            </w:r>
          </w:p>
          <w:p w14:paraId="14BC8B37">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3.压缩泵自由空气流量≥10L/min；</w:t>
            </w:r>
          </w:p>
          <w:p w14:paraId="1C5BEDF9">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4.整机运行噪音≤60dB；</w:t>
            </w:r>
          </w:p>
          <w:p w14:paraId="3F79892E">
            <w:pPr>
              <w:snapToGrid w:val="0"/>
              <w:spacing w:line="240" w:lineRule="auto"/>
              <w:ind w:left="0" w:leftChars="0" w:right="0" w:rightChars="0" w:firstLine="0" w:firstLineChars="0"/>
              <w:jc w:val="left"/>
              <w:rPr>
                <w:rFonts w:hint="eastAsia"/>
                <w:lang w:val="en-US" w:eastAsia="zh-CN"/>
              </w:rPr>
            </w:pPr>
            <w:r>
              <w:rPr>
                <w:rFonts w:hint="eastAsia" w:cs="宋体" w:asciiTheme="minorEastAsia" w:hAnsiTheme="minorEastAsia" w:eastAsiaTheme="minorEastAsia"/>
                <w:color w:val="auto"/>
                <w:sz w:val="28"/>
                <w:szCs w:val="28"/>
                <w:lang w:val="en-US" w:eastAsia="zh-CN"/>
              </w:rPr>
              <w:t>（配套服务：设备上门安装调试、院内医护人员全套操作培训）。</w:t>
            </w:r>
          </w:p>
        </w:tc>
        <w:tc>
          <w:tcPr>
            <w:tcW w:w="1081" w:type="dxa"/>
            <w:vAlign w:val="center"/>
          </w:tcPr>
          <w:p w14:paraId="37EC7C18">
            <w:pPr>
              <w:snapToGrid w:val="0"/>
              <w:spacing w:line="240" w:lineRule="auto"/>
              <w:ind w:left="0" w:leftChars="0" w:right="0" w:rightChars="0" w:firstLine="0" w:firstLineChars="0"/>
              <w:jc w:val="center"/>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8台</w:t>
            </w:r>
          </w:p>
        </w:tc>
      </w:tr>
    </w:tbl>
    <w:p w14:paraId="2CACEAF9">
      <w:pPr>
        <w:pStyle w:val="2"/>
        <w:numPr>
          <w:ilvl w:val="0"/>
          <w:numId w:val="0"/>
        </w:numPr>
        <w:rPr>
          <w:rFonts w:hint="eastAsia" w:asciiTheme="minorEastAsia" w:hAnsiTheme="minorEastAsia" w:eastAsiaTheme="minorEastAsia" w:cstheme="minorEastAsia"/>
          <w:b w:val="0"/>
          <w:bCs w:val="0"/>
          <w:sz w:val="28"/>
          <w:szCs w:val="28"/>
          <w:lang w:val="en-US" w:eastAsia="zh-CN"/>
        </w:rPr>
      </w:pPr>
    </w:p>
    <w:p w14:paraId="180BA43C">
      <w:pPr>
        <w:spacing w:line="360" w:lineRule="auto"/>
        <w:ind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1600</w:t>
      </w:r>
      <w:r>
        <w:rPr>
          <w:rFonts w:hint="eastAsia" w:cs="Arial" w:asciiTheme="minorEastAsia" w:hAnsiTheme="minorEastAsia" w:eastAsiaTheme="minorEastAsia"/>
          <w:snapToGrid w:val="0"/>
          <w:sz w:val="28"/>
          <w:szCs w:val="28"/>
        </w:rPr>
        <w:t>元，以人民币一次性报价。报价采取包干方式，报价</w:t>
      </w:r>
      <w:bookmarkStart w:id="0" w:name="_Hlk142553134"/>
      <w:r>
        <w:rPr>
          <w:rFonts w:hint="eastAsia" w:cs="Arial" w:asciiTheme="minorEastAsia" w:hAnsiTheme="minorEastAsia" w:eastAsiaTheme="minorEastAsia"/>
          <w:snapToGrid w:val="0"/>
          <w:sz w:val="28"/>
          <w:szCs w:val="28"/>
        </w:rPr>
        <w:t>包含货物、运输、安装、调试、售后服务、安全措施费、税金等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7FA105B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.交货时间</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个工作日内完成交货安装调试并交付使用。</w:t>
      </w:r>
    </w:p>
    <w:p w14:paraId="51EFF579">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2.</w:t>
      </w:r>
      <w:r>
        <w:rPr>
          <w:rFonts w:hint="eastAsia" w:cs="仿宋" w:asciiTheme="minorEastAsia" w:hAnsiTheme="minorEastAsia" w:eastAsiaTheme="minorEastAsia"/>
          <w:color w:val="auto"/>
          <w:sz w:val="28"/>
          <w:szCs w:val="28"/>
        </w:rPr>
        <w:t>履约、验收要求与标准</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按照《财政部关于进一步加强政府采购需求和履约验收管理的指导意见》（财库〔2016〕205号）、《绵阳市财政局关于进一步做好政府采购项目履约验收工作的通知》（绵财采〔2021〕15号）及《医院采购履约验收工作实施细则》执行。</w:t>
      </w:r>
    </w:p>
    <w:p w14:paraId="6AB19B84">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3.</w:t>
      </w:r>
      <w:r>
        <w:rPr>
          <w:rFonts w:hint="eastAsia" w:cs="仿宋" w:asciiTheme="minorEastAsia" w:hAnsiTheme="minorEastAsia" w:eastAsiaTheme="minorEastAsia"/>
          <w:color w:val="auto"/>
          <w:sz w:val="28"/>
          <w:szCs w:val="28"/>
        </w:rPr>
        <w:t>款项支付方式及要求：验收合格后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lang w:val="en-US" w:eastAsia="zh-CN"/>
        </w:rPr>
        <w:t>个工作</w:t>
      </w:r>
      <w:r>
        <w:rPr>
          <w:rFonts w:hint="eastAsia" w:cs="仿宋" w:asciiTheme="minorEastAsia" w:hAnsiTheme="minorEastAsia" w:eastAsiaTheme="minorEastAsia"/>
          <w:color w:val="auto"/>
          <w:sz w:val="28"/>
          <w:szCs w:val="28"/>
        </w:rPr>
        <w:t>日内一次性全额支付。</w:t>
      </w:r>
    </w:p>
    <w:p w14:paraId="3AA819C7">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4.</w:t>
      </w:r>
      <w:r>
        <w:rPr>
          <w:rFonts w:hint="eastAsia" w:cs="仿宋" w:asciiTheme="minorEastAsia" w:hAnsiTheme="minorEastAsia" w:eastAsiaTheme="minorEastAsia"/>
          <w:color w:val="auto"/>
          <w:sz w:val="28"/>
          <w:szCs w:val="28"/>
        </w:rPr>
        <w:t>质保及售后服务要求按国家三保政策执行，若厂家质保优于国家政策按厂家质保执行，售后服务要求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p w14:paraId="5DF1C6AD">
      <w:pPr>
        <w:spacing w:line="360" w:lineRule="auto"/>
        <w:ind w:left="72"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w:t>
      </w:r>
      <w:r>
        <w:rPr>
          <w:rFonts w:hint="eastAsia" w:cs="仿宋" w:asciiTheme="minorEastAsia" w:hAnsiTheme="minorEastAsia" w:eastAsiaTheme="minorEastAsia"/>
          <w:snapToGrid w:val="0"/>
          <w:color w:val="auto"/>
          <w:sz w:val="28"/>
          <w:szCs w:val="28"/>
          <w:lang w:val="en-US" w:eastAsia="zh-CN"/>
        </w:rPr>
        <w:t>8702118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二〇二五年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18AE227F">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二、医疗器械经营许可证或备案证</w:t>
      </w: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jc w:val="both"/>
        <w:rPr>
          <w:rFonts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三、</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法定代表人身份证</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四、</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五、被授权代理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六、报价函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rPr>
        <w:t xml:space="preserve">  </w:t>
      </w:r>
      <w:r>
        <w:rPr>
          <w:rFonts w:hint="eastAsia" w:ascii="宋体" w:hAnsi="宋体" w:eastAsia="宋体"/>
          <w:color w:val="auto"/>
          <w:sz w:val="28"/>
          <w:szCs w:val="28"/>
        </w:rPr>
        <w:t xml:space="preserve">          比选采购公告，经我方认真研判核对，我方产品能完全满足贵方技术参数和要求，故决定参加比选。我方报价汇总如下：</w:t>
      </w:r>
    </w:p>
    <w:tbl>
      <w:tblPr>
        <w:tblStyle w:val="12"/>
        <w:tblW w:w="8302" w:type="dxa"/>
        <w:jc w:val="center"/>
        <w:tblLayout w:type="autofit"/>
        <w:tblCellMar>
          <w:top w:w="0" w:type="dxa"/>
          <w:left w:w="108" w:type="dxa"/>
          <w:bottom w:w="0" w:type="dxa"/>
          <w:right w:w="108" w:type="dxa"/>
        </w:tblCellMar>
      </w:tblPr>
      <w:tblGrid>
        <w:gridCol w:w="705"/>
        <w:gridCol w:w="2410"/>
        <w:gridCol w:w="925"/>
        <w:gridCol w:w="1034"/>
        <w:gridCol w:w="1056"/>
        <w:gridCol w:w="675"/>
        <w:gridCol w:w="1497"/>
      </w:tblGrid>
      <w:tr w14:paraId="7500855D">
        <w:tblPrEx>
          <w:tblCellMar>
            <w:top w:w="0" w:type="dxa"/>
            <w:left w:w="108" w:type="dxa"/>
            <w:bottom w:w="0" w:type="dxa"/>
            <w:right w:w="108" w:type="dxa"/>
          </w:tblCellMar>
        </w:tblPrEx>
        <w:trPr>
          <w:trHeight w:val="61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1D838F6">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4F0E058A">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产品名称（填写产品铭牌名称）</w:t>
            </w:r>
          </w:p>
        </w:tc>
        <w:tc>
          <w:tcPr>
            <w:tcW w:w="925" w:type="dxa"/>
            <w:tcBorders>
              <w:top w:val="single" w:color="auto" w:sz="4" w:space="0"/>
              <w:bottom w:val="single" w:color="auto" w:sz="4" w:space="0"/>
            </w:tcBorders>
          </w:tcPr>
          <w:p w14:paraId="07D2248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品牌</w:t>
            </w:r>
          </w:p>
        </w:tc>
        <w:tc>
          <w:tcPr>
            <w:tcW w:w="1034" w:type="dxa"/>
            <w:tcBorders>
              <w:top w:val="single" w:color="auto" w:sz="4" w:space="0"/>
              <w:left w:val="single" w:color="auto" w:sz="4" w:space="0"/>
              <w:bottom w:val="single" w:color="auto" w:sz="4" w:space="0"/>
              <w:right w:val="single" w:color="auto" w:sz="4" w:space="0"/>
            </w:tcBorders>
            <w:vAlign w:val="center"/>
          </w:tcPr>
          <w:p w14:paraId="2FE5768C">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1056" w:type="dxa"/>
            <w:tcBorders>
              <w:top w:val="single" w:color="auto" w:sz="4" w:space="0"/>
              <w:left w:val="single" w:color="auto" w:sz="4" w:space="0"/>
              <w:bottom w:val="single" w:color="auto" w:sz="4" w:space="0"/>
              <w:right w:val="single" w:color="auto" w:sz="4" w:space="0"/>
            </w:tcBorders>
            <w:vAlign w:val="center"/>
          </w:tcPr>
          <w:p w14:paraId="67F7669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75" w:type="dxa"/>
            <w:tcBorders>
              <w:top w:val="single" w:color="auto" w:sz="4" w:space="0"/>
              <w:left w:val="single" w:color="auto" w:sz="4" w:space="0"/>
              <w:bottom w:val="single" w:color="auto" w:sz="4" w:space="0"/>
              <w:right w:val="single" w:color="auto" w:sz="4" w:space="0"/>
            </w:tcBorders>
            <w:vAlign w:val="center"/>
          </w:tcPr>
          <w:p w14:paraId="1928429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497" w:type="dxa"/>
            <w:tcBorders>
              <w:top w:val="single" w:color="auto" w:sz="4" w:space="0"/>
              <w:left w:val="single" w:color="auto" w:sz="4" w:space="0"/>
              <w:bottom w:val="single" w:color="auto" w:sz="4" w:space="0"/>
              <w:right w:val="single" w:color="auto" w:sz="4" w:space="0"/>
            </w:tcBorders>
            <w:noWrap/>
            <w:vAlign w:val="center"/>
          </w:tcPr>
          <w:p w14:paraId="388F857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金额小计（元）</w:t>
            </w:r>
          </w:p>
        </w:tc>
      </w:tr>
      <w:tr w14:paraId="5212B405">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0093E24">
            <w:pPr>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2410" w:type="dxa"/>
            <w:tcBorders>
              <w:top w:val="nil"/>
              <w:left w:val="single" w:color="auto" w:sz="4" w:space="0"/>
              <w:bottom w:val="single" w:color="auto" w:sz="4" w:space="0"/>
              <w:right w:val="single" w:color="auto" w:sz="4" w:space="0"/>
            </w:tcBorders>
            <w:noWrap/>
            <w:vAlign w:val="center"/>
          </w:tcPr>
          <w:p w14:paraId="6DA1C09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925" w:type="dxa"/>
            <w:tcBorders>
              <w:top w:val="single" w:color="auto" w:sz="4" w:space="0"/>
              <w:bottom w:val="single" w:color="auto" w:sz="4" w:space="0"/>
            </w:tcBorders>
          </w:tcPr>
          <w:p w14:paraId="612AA5F7">
            <w:pPr>
              <w:spacing w:line="360" w:lineRule="auto"/>
              <w:jc w:val="both"/>
              <w:rPr>
                <w:rFonts w:hint="eastAsia" w:ascii="宋体" w:hAnsi="宋体" w:eastAsia="宋体" w:cs="宋体"/>
                <w:color w:val="auto"/>
                <w:sz w:val="28"/>
                <w:szCs w:val="28"/>
              </w:rPr>
            </w:pPr>
          </w:p>
        </w:tc>
        <w:tc>
          <w:tcPr>
            <w:tcW w:w="1034" w:type="dxa"/>
            <w:tcBorders>
              <w:top w:val="nil"/>
              <w:left w:val="single" w:color="auto" w:sz="4" w:space="0"/>
              <w:bottom w:val="single" w:color="auto" w:sz="4" w:space="0"/>
              <w:right w:val="single" w:color="auto" w:sz="4" w:space="0"/>
            </w:tcBorders>
            <w:vAlign w:val="center"/>
          </w:tcPr>
          <w:p w14:paraId="087956FB">
            <w:pPr>
              <w:spacing w:line="360" w:lineRule="auto"/>
              <w:jc w:val="both"/>
              <w:rPr>
                <w:rFonts w:hint="eastAsia" w:ascii="宋体" w:hAnsi="宋体" w:eastAsia="宋体" w:cs="宋体"/>
                <w:color w:val="auto"/>
                <w:sz w:val="28"/>
                <w:szCs w:val="28"/>
              </w:rPr>
            </w:pPr>
          </w:p>
        </w:tc>
        <w:tc>
          <w:tcPr>
            <w:tcW w:w="1056" w:type="dxa"/>
            <w:tcBorders>
              <w:top w:val="nil"/>
              <w:left w:val="single" w:color="auto" w:sz="4" w:space="0"/>
              <w:bottom w:val="single" w:color="auto" w:sz="4" w:space="0"/>
              <w:right w:val="single" w:color="auto" w:sz="4" w:space="0"/>
            </w:tcBorders>
            <w:vAlign w:val="center"/>
          </w:tcPr>
          <w:p w14:paraId="7165848B">
            <w:pPr>
              <w:spacing w:line="360" w:lineRule="auto"/>
              <w:jc w:val="both"/>
              <w:rPr>
                <w:rFonts w:hint="eastAsia" w:ascii="宋体" w:hAnsi="宋体" w:eastAsia="宋体" w:cs="宋体"/>
                <w:color w:val="auto"/>
                <w:sz w:val="28"/>
                <w:szCs w:val="28"/>
              </w:rPr>
            </w:pPr>
          </w:p>
        </w:tc>
        <w:tc>
          <w:tcPr>
            <w:tcW w:w="675" w:type="dxa"/>
            <w:tcBorders>
              <w:top w:val="nil"/>
              <w:left w:val="single" w:color="auto" w:sz="4" w:space="0"/>
              <w:bottom w:val="single" w:color="auto" w:sz="4" w:space="0"/>
              <w:right w:val="single" w:color="auto" w:sz="4" w:space="0"/>
            </w:tcBorders>
            <w:vAlign w:val="center"/>
          </w:tcPr>
          <w:p w14:paraId="5E9AAAB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c>
          <w:tcPr>
            <w:tcW w:w="1497" w:type="dxa"/>
            <w:tcBorders>
              <w:top w:val="nil"/>
              <w:left w:val="single" w:color="auto" w:sz="4" w:space="0"/>
              <w:bottom w:val="single" w:color="auto" w:sz="4" w:space="0"/>
              <w:right w:val="single" w:color="auto" w:sz="4" w:space="0"/>
            </w:tcBorders>
            <w:noWrap/>
            <w:vAlign w:val="center"/>
          </w:tcPr>
          <w:p w14:paraId="6E948080">
            <w:pPr>
              <w:spacing w:line="360" w:lineRule="auto"/>
              <w:jc w:val="both"/>
              <w:rPr>
                <w:rFonts w:hint="eastAsia" w:ascii="宋体" w:hAnsi="宋体" w:eastAsia="宋体" w:cs="宋体"/>
                <w:color w:val="auto"/>
                <w:sz w:val="28"/>
                <w:szCs w:val="28"/>
              </w:rPr>
            </w:pPr>
          </w:p>
        </w:tc>
      </w:tr>
      <w:bookmarkEnd w:id="2"/>
      <w:tr w14:paraId="345CCC0B">
        <w:tblPrEx>
          <w:tblCellMar>
            <w:top w:w="0" w:type="dxa"/>
            <w:left w:w="108" w:type="dxa"/>
            <w:bottom w:w="0" w:type="dxa"/>
            <w:right w:w="108" w:type="dxa"/>
          </w:tblCellMar>
        </w:tblPrEx>
        <w:trPr>
          <w:trHeight w:val="617" w:hRule="atLeast"/>
          <w:jc w:val="center"/>
        </w:trPr>
        <w:tc>
          <w:tcPr>
            <w:tcW w:w="3115" w:type="dxa"/>
            <w:gridSpan w:val="2"/>
            <w:tcBorders>
              <w:top w:val="nil"/>
              <w:left w:val="single" w:color="auto" w:sz="4" w:space="0"/>
              <w:bottom w:val="single" w:color="auto" w:sz="4" w:space="0"/>
              <w:right w:val="single" w:color="auto" w:sz="4" w:space="0"/>
            </w:tcBorders>
            <w:noWrap/>
            <w:vAlign w:val="center"/>
          </w:tcPr>
          <w:p w14:paraId="25B8869E">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总价合计（元）</w:t>
            </w:r>
          </w:p>
        </w:tc>
        <w:tc>
          <w:tcPr>
            <w:tcW w:w="5187" w:type="dxa"/>
            <w:gridSpan w:val="5"/>
            <w:tcBorders>
              <w:top w:val="single" w:color="auto" w:sz="4" w:space="0"/>
              <w:bottom w:val="single" w:color="auto" w:sz="4" w:space="0"/>
              <w:right w:val="single" w:color="auto" w:sz="4" w:space="0"/>
            </w:tcBorders>
          </w:tcPr>
          <w:p w14:paraId="331128F3">
            <w:pPr>
              <w:spacing w:line="360" w:lineRule="auto"/>
              <w:jc w:val="both"/>
              <w:rPr>
                <w:rFonts w:hint="eastAsia" w:ascii="宋体" w:hAnsi="宋体" w:eastAsia="宋体" w:cs="宋体"/>
                <w:color w:val="auto"/>
                <w:sz w:val="28"/>
                <w:szCs w:val="28"/>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我方愿意且有能力按照比选公告的技术参数和要求提供产品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以上报价包含货物、运输、安装、调试、售后服务、安全措施费、税金等各种费用，不再向贵院收取其它任何费用；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3" w:name="_Toc443397363"/>
      <w:bookmarkStart w:id="4" w:name="_Toc482266098"/>
      <w:bookmarkStart w:id="5" w:name="_Toc87974341"/>
      <w:bookmarkStart w:id="6" w:name="_Toc13563815"/>
      <w:bookmarkStart w:id="7" w:name="_Toc11832062"/>
      <w:r>
        <w:rPr>
          <w:rFonts w:hint="eastAsia" w:ascii="宋体" w:hAnsi="宋体" w:eastAsia="宋体" w:cs="仿宋"/>
          <w:b/>
          <w:bCs/>
          <w:color w:val="auto"/>
          <w:sz w:val="44"/>
          <w:szCs w:val="44"/>
        </w:rPr>
        <w:t>七、技术、服务响应应答表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产品名称（填写产品铭牌名称）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11764032"/>
      <w:bookmarkStart w:id="9" w:name="_Toc443397365"/>
      <w:bookmarkStart w:id="10" w:name="_Toc13563872"/>
      <w:bookmarkStart w:id="11" w:name="_Toc482266101"/>
      <w:r>
        <w:rPr>
          <w:rFonts w:hint="eastAsia" w:cs="仿宋" w:asciiTheme="minorEastAsia" w:hAnsiTheme="minorEastAsia" w:eastAsiaTheme="minorEastAsia"/>
          <w:b/>
          <w:bCs/>
          <w:color w:val="auto"/>
          <w:sz w:val="44"/>
          <w:szCs w:val="44"/>
        </w:rPr>
        <w:t>八、商务应答表</w:t>
      </w:r>
      <w:bookmarkEnd w:id="8"/>
      <w:bookmarkEnd w:id="9"/>
      <w:bookmarkEnd w:id="10"/>
      <w:bookmarkEnd w:id="11"/>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交货时间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个工作日内完成交货调试并交付使用。</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8"/>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履约、验收要求与标准</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按照《财政部关于进一步加强政府采购需求和履约验收管理的指导意见》（财库〔2016〕205号）、《绵阳市财政局关于进一步做好政府采购项目履约验收工作的通知》（绵财采〔2021〕15号）及《医院采购履约验收工作实施细则》执行。</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8"/>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款项支付方式</w:t>
            </w: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最终验收合格后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lang w:val="en-US" w:eastAsia="zh-CN"/>
              </w:rPr>
              <w:t>个工作</w:t>
            </w:r>
            <w:r>
              <w:rPr>
                <w:rFonts w:hint="eastAsia" w:cs="仿宋" w:asciiTheme="minorEastAsia" w:hAnsiTheme="minorEastAsia" w:eastAsiaTheme="minorEastAsia"/>
                <w:color w:val="auto"/>
                <w:sz w:val="28"/>
                <w:szCs w:val="28"/>
              </w:rPr>
              <w:t>日内一次性支付。</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8"/>
                <w:szCs w:val="28"/>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w:t>
            </w:r>
          </w:p>
        </w:tc>
        <w:tc>
          <w:tcPr>
            <w:tcW w:w="1882" w:type="dxa"/>
            <w:tcBorders>
              <w:top w:val="single" w:color="auto" w:sz="4" w:space="0"/>
              <w:left w:val="single" w:color="auto" w:sz="4" w:space="0"/>
              <w:bottom w:val="single" w:color="auto" w:sz="4" w:space="0"/>
              <w:right w:val="single" w:color="auto" w:sz="4" w:space="0"/>
            </w:tcBorders>
            <w:vAlign w:val="center"/>
          </w:tcPr>
          <w:p w14:paraId="4F3AB47C">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质保及售后服务要求</w:t>
            </w:r>
          </w:p>
        </w:tc>
        <w:tc>
          <w:tcPr>
            <w:tcW w:w="3398" w:type="dxa"/>
            <w:tcBorders>
              <w:top w:val="single" w:color="auto" w:sz="4" w:space="0"/>
              <w:left w:val="single" w:color="auto" w:sz="4" w:space="0"/>
              <w:bottom w:val="single" w:color="auto" w:sz="4" w:space="0"/>
              <w:right w:val="single" w:color="auto" w:sz="4" w:space="0"/>
            </w:tcBorders>
            <w:vAlign w:val="center"/>
          </w:tcPr>
          <w:p w14:paraId="1A2AE818">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8"/>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B2A5D9-EB08-4ED4-8293-1B6B71588AD1}"/>
  </w:font>
  <w:font w:name="黑体">
    <w:panose1 w:val="02010609060101010101"/>
    <w:charset w:val="86"/>
    <w:family w:val="auto"/>
    <w:pitch w:val="default"/>
    <w:sig w:usb0="800002BF" w:usb1="38CF7CFA" w:usb2="00000016" w:usb3="00000000" w:csb0="00040001" w:csb1="00000000"/>
    <w:embedRegular r:id="rId2" w:fontKey="{60E1BD53-075A-4930-B21C-092D4F0263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E466F20-3B51-49F7-AB2D-97D22AC35A20}"/>
  </w:font>
  <w:font w:name="方正小标宋简体">
    <w:panose1 w:val="03000509000000000000"/>
    <w:charset w:val="86"/>
    <w:family w:val="script"/>
    <w:pitch w:val="default"/>
    <w:sig w:usb0="00000001" w:usb1="080E0000" w:usb2="00000000" w:usb3="00000000" w:csb0="00040000" w:csb1="00000000"/>
    <w:embedRegular r:id="rId4" w:fontKey="{FCCCF1F5-CA09-4A1E-A86F-6426A432A6E9}"/>
  </w:font>
  <w:font w:name="微软雅黑">
    <w:panose1 w:val="020B0503020204020204"/>
    <w:charset w:val="86"/>
    <w:family w:val="swiss"/>
    <w:pitch w:val="default"/>
    <w:sig w:usb0="80000287" w:usb1="2ACF3C50" w:usb2="00000016" w:usb3="00000000" w:csb0="0004001F" w:csb1="00000000"/>
    <w:embedRegular r:id="rId5" w:fontKey="{8E8D131C-3E5C-4C77-AEEB-47530833D3F6}"/>
  </w:font>
  <w:font w:name="仿宋">
    <w:panose1 w:val="02010609060101010101"/>
    <w:charset w:val="86"/>
    <w:family w:val="modern"/>
    <w:pitch w:val="default"/>
    <w:sig w:usb0="800002BF" w:usb1="38CF7CFA" w:usb2="00000016" w:usb3="00000000" w:csb0="00040001" w:csb1="00000000"/>
    <w:embedRegular r:id="rId6" w:fontKey="{FE260F9F-08DA-4B59-BBE1-B051BD24BBBB}"/>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63CB3"/>
    <w:multiLevelType w:val="singleLevel"/>
    <w:tmpl w:val="9B463C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7842862"/>
    <w:rsid w:val="098C0EB5"/>
    <w:rsid w:val="0B7B39E8"/>
    <w:rsid w:val="0E7209E7"/>
    <w:rsid w:val="11D70EC1"/>
    <w:rsid w:val="11DD1ECE"/>
    <w:rsid w:val="12DE6F90"/>
    <w:rsid w:val="13546121"/>
    <w:rsid w:val="144F1949"/>
    <w:rsid w:val="151E215B"/>
    <w:rsid w:val="158C17BA"/>
    <w:rsid w:val="173F4D41"/>
    <w:rsid w:val="1E500961"/>
    <w:rsid w:val="201725C8"/>
    <w:rsid w:val="227E5313"/>
    <w:rsid w:val="26ED7BDF"/>
    <w:rsid w:val="27652E3F"/>
    <w:rsid w:val="29276970"/>
    <w:rsid w:val="2BDE5A01"/>
    <w:rsid w:val="2CB63FA3"/>
    <w:rsid w:val="2D6450D7"/>
    <w:rsid w:val="327718A3"/>
    <w:rsid w:val="348155AD"/>
    <w:rsid w:val="35FA6EE9"/>
    <w:rsid w:val="38066A97"/>
    <w:rsid w:val="3A767A17"/>
    <w:rsid w:val="3B8B624B"/>
    <w:rsid w:val="40A1006A"/>
    <w:rsid w:val="43BA5CB2"/>
    <w:rsid w:val="44C666DF"/>
    <w:rsid w:val="46A00372"/>
    <w:rsid w:val="482C4730"/>
    <w:rsid w:val="483F742D"/>
    <w:rsid w:val="485811E2"/>
    <w:rsid w:val="491A038A"/>
    <w:rsid w:val="4A55439E"/>
    <w:rsid w:val="4A83608C"/>
    <w:rsid w:val="4ABC7102"/>
    <w:rsid w:val="4B276680"/>
    <w:rsid w:val="4CD16714"/>
    <w:rsid w:val="4D4C02AB"/>
    <w:rsid w:val="4F9D48D9"/>
    <w:rsid w:val="50106C5B"/>
    <w:rsid w:val="54484C1C"/>
    <w:rsid w:val="552A3C28"/>
    <w:rsid w:val="555B2AE5"/>
    <w:rsid w:val="556F2587"/>
    <w:rsid w:val="56CA1A16"/>
    <w:rsid w:val="5C33726B"/>
    <w:rsid w:val="5CB16DED"/>
    <w:rsid w:val="5D6B1D7A"/>
    <w:rsid w:val="5E0E40CF"/>
    <w:rsid w:val="60E12C6D"/>
    <w:rsid w:val="61187FB2"/>
    <w:rsid w:val="647D3D96"/>
    <w:rsid w:val="6CB20BC2"/>
    <w:rsid w:val="6E7F50AE"/>
    <w:rsid w:val="73D61B16"/>
    <w:rsid w:val="751869EF"/>
    <w:rsid w:val="75DD7A6C"/>
    <w:rsid w:val="7A91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2871</Words>
  <Characters>2981</Characters>
  <Lines>251</Lines>
  <Paragraphs>197</Paragraphs>
  <TotalTime>23</TotalTime>
  <ScaleCrop>false</ScaleCrop>
  <LinksUpToDate>false</LinksUpToDate>
  <CharactersWithSpaces>3324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2026-07-02T02:24:54Z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