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68177528">
      <w:pPr>
        <w:spacing w:line="360" w:lineRule="auto"/>
        <w:ind w:firstLine="1440" w:firstLineChars="400"/>
        <w:jc w:val="both"/>
        <w:rPr>
          <w:rFonts w:hint="eastAsia" w:ascii="方正小标宋简体" w:hAnsi="黑体" w:eastAsia="方正小标宋简体" w:cs="黑体"/>
          <w:color w:val="auto"/>
          <w:sz w:val="36"/>
          <w:szCs w:val="36"/>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color w:val="auto"/>
          <w:sz w:val="36"/>
          <w:szCs w:val="36"/>
          <w:lang w:val="en-US" w:eastAsia="zh-CN"/>
        </w:rPr>
        <w:t xml:space="preserve">建设工程消防安全评估服务 </w:t>
      </w:r>
    </w:p>
    <w:p w14:paraId="66F668E1">
      <w:pPr>
        <w:spacing w:line="360" w:lineRule="auto"/>
        <w:ind w:firstLine="1440" w:firstLineChars="400"/>
        <w:jc w:val="both"/>
        <w:rPr>
          <w:rFonts w:hint="default" w:ascii="方正小标宋简体" w:eastAsiaTheme="minorEastAsia"/>
          <w:color w:val="auto"/>
          <w:sz w:val="36"/>
          <w:szCs w:val="36"/>
          <w:lang w:val="en-US" w:eastAsia="zh-CN"/>
        </w:rPr>
      </w:pPr>
      <w:r>
        <w:rPr>
          <w:rFonts w:hint="eastAsia" w:ascii="方正小标宋简体" w:hAnsi="黑体" w:eastAsia="方正小标宋简体" w:cs="黑体"/>
          <w:color w:val="auto"/>
          <w:sz w:val="36"/>
          <w:szCs w:val="36"/>
        </w:rPr>
        <w:t>项目编号：</w:t>
      </w:r>
      <w:r>
        <w:rPr>
          <w:rFonts w:cs="宋体" w:asciiTheme="minorEastAsia" w:hAnsiTheme="minorEastAsia" w:eastAsiaTheme="minorEastAsia"/>
          <w:b/>
          <w:bCs/>
          <w:color w:val="auto"/>
          <w:sz w:val="28"/>
          <w:szCs w:val="28"/>
        </w:rPr>
        <w:t>MYFY</w:t>
      </w:r>
      <w:r>
        <w:rPr>
          <w:rFonts w:hint="eastAsia" w:cs="宋体" w:asciiTheme="minorEastAsia" w:hAnsiTheme="minorEastAsia" w:eastAsiaTheme="minorEastAsia"/>
          <w:b/>
          <w:bCs/>
          <w:color w:val="auto"/>
          <w:sz w:val="28"/>
          <w:szCs w:val="28"/>
          <w:lang w:val="en-US" w:eastAsia="zh-CN"/>
        </w:rPr>
        <w:t>CG</w:t>
      </w:r>
      <w:r>
        <w:rPr>
          <w:rFonts w:cs="宋体" w:asciiTheme="minorEastAsia" w:hAnsiTheme="minorEastAsia" w:eastAsiaTheme="minorEastAsia"/>
          <w:b/>
          <w:bCs/>
          <w:color w:val="auto"/>
          <w:sz w:val="28"/>
          <w:szCs w:val="28"/>
        </w:rPr>
        <w:t>202</w:t>
      </w:r>
      <w:r>
        <w:rPr>
          <w:rFonts w:hint="eastAsia" w:cs="宋体" w:asciiTheme="minorEastAsia" w:hAnsiTheme="minorEastAsia" w:eastAsiaTheme="minorEastAsia"/>
          <w:b/>
          <w:bCs/>
          <w:color w:val="auto"/>
          <w:sz w:val="28"/>
          <w:szCs w:val="28"/>
          <w:lang w:val="en-US" w:eastAsia="zh-CN"/>
        </w:rPr>
        <w:t>604</w:t>
      </w:r>
      <w:r>
        <w:rPr>
          <w:rFonts w:cs="宋体" w:asciiTheme="minorEastAsia" w:hAnsiTheme="minorEastAsia" w:eastAsiaTheme="minorEastAsia"/>
          <w:b/>
          <w:bCs/>
          <w:color w:val="auto"/>
          <w:sz w:val="28"/>
          <w:szCs w:val="28"/>
        </w:rPr>
        <w:t>-0</w:t>
      </w:r>
      <w:r>
        <w:rPr>
          <w:rFonts w:hint="eastAsia" w:cs="宋体" w:asciiTheme="minorEastAsia" w:hAnsiTheme="minorEastAsia" w:eastAsiaTheme="minorEastAsia"/>
          <w:b/>
          <w:bCs/>
          <w:color w:val="auto"/>
          <w:sz w:val="28"/>
          <w:szCs w:val="28"/>
          <w:lang w:val="en-US" w:eastAsia="zh-CN"/>
        </w:rPr>
        <w:t>3BX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04</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cs="仿宋" w:asciiTheme="minorEastAsia" w:hAnsiTheme="minorEastAsia" w:eastAsiaTheme="minorEastAsia"/>
          <w:color w:val="auto"/>
          <w:sz w:val="28"/>
          <w:szCs w:val="28"/>
          <w:lang w:val="en-US" w:eastAsia="zh-CN"/>
        </w:rPr>
        <w:t>建设工程消防安全评估服务</w:t>
      </w:r>
      <w:r>
        <w:rPr>
          <w:rFonts w:hint="eastAsia" w:ascii="方正小标宋简体" w:eastAsia="方正小标宋简体" w:cs="Arial"/>
          <w:b w:val="0"/>
          <w:bCs w:val="0"/>
          <w:sz w:val="28"/>
          <w:szCs w:val="28"/>
          <w:shd w:val="clear" w:color="auto" w:fill="FFFFFF"/>
          <w:lang w:val="en-US" w:eastAsia="zh-CN"/>
        </w:rPr>
        <w:t>进</w:t>
      </w:r>
      <w:r>
        <w:rPr>
          <w:rFonts w:cs="仿宋" w:asciiTheme="minorEastAsia" w:hAnsiTheme="minorEastAsia" w:eastAsiaTheme="minorEastAsia"/>
          <w:color w:val="auto"/>
          <w:sz w:val="28"/>
          <w:szCs w:val="28"/>
        </w:rPr>
        <w:t>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4C30A615">
      <w:pPr>
        <w:numPr>
          <w:ilvl w:val="0"/>
          <w:numId w:val="1"/>
        </w:numPr>
        <w:spacing w:line="360" w:lineRule="auto"/>
        <w:ind w:left="40" w:firstLine="562" w:firstLineChars="200"/>
        <w:jc w:val="both"/>
        <w:rPr>
          <w:rFonts w:hint="default"/>
          <w:lang w:val="en-US" w:eastAsia="zh-CN"/>
        </w:rPr>
      </w:pPr>
      <w:r>
        <w:rPr>
          <w:rFonts w:hint="eastAsia" w:cs="宋体" w:asciiTheme="minorEastAsia" w:hAnsiTheme="minorEastAsia" w:eastAsiaTheme="minorEastAsia"/>
          <w:b/>
          <w:bCs/>
          <w:color w:val="auto"/>
          <w:sz w:val="28"/>
          <w:szCs w:val="28"/>
        </w:rPr>
        <w:t>采购内容及技术服务要求</w:t>
      </w:r>
    </w:p>
    <w:p w14:paraId="395C6767">
      <w:pPr>
        <w:spacing w:line="360" w:lineRule="auto"/>
        <w:ind w:left="37" w:right="14" w:firstLine="642"/>
        <w:jc w:val="both"/>
        <w:rPr>
          <w:rFonts w:hint="eastAsia"/>
          <w:sz w:val="28"/>
          <w:szCs w:val="36"/>
          <w:lang w:val="en-US" w:eastAsia="zh-CN"/>
        </w:rPr>
      </w:pPr>
      <w:r>
        <w:rPr>
          <w:rFonts w:hint="eastAsia"/>
          <w:sz w:val="28"/>
          <w:szCs w:val="36"/>
          <w:lang w:val="en-US" w:eastAsia="zh-CN"/>
        </w:rPr>
        <w:t>1.根据四川省安委会2025年9月2日下发的文件[川安委〔2025〕24号]《四川省建设工程消防设计审查验收违法违规专项治理行动方案》的要求，对我院新院区二期项目、游仙西路用房进行建设工程消防安全评估。</w:t>
      </w:r>
    </w:p>
    <w:p w14:paraId="6048C27A">
      <w:pPr>
        <w:spacing w:line="360" w:lineRule="auto"/>
        <w:ind w:left="37" w:right="14" w:firstLine="642"/>
        <w:jc w:val="both"/>
        <w:rPr>
          <w:rFonts w:hint="eastAsia"/>
          <w:sz w:val="28"/>
          <w:szCs w:val="36"/>
          <w:lang w:val="en-US" w:eastAsia="zh-CN"/>
        </w:rPr>
      </w:pPr>
      <w:r>
        <w:rPr>
          <w:rFonts w:hint="eastAsia"/>
          <w:sz w:val="28"/>
          <w:szCs w:val="36"/>
          <w:lang w:val="en-US" w:eastAsia="zh-CN"/>
        </w:rPr>
        <w:t>2.技术要求：依据四川省消防评估执业相关规范，例如《人员密集场所消防安全评估导则 》（XF/T1369-2016）、《单位消防安全评估》（XF/T3005-2020）及《医疗机构消防安全管理》（WS 308-2019）等法律法规、国家及地方标准开展消防安全评估活动，确保评估结果符合现行规范要求。</w:t>
      </w:r>
    </w:p>
    <w:p w14:paraId="1FE34AA6">
      <w:pPr>
        <w:spacing w:line="360" w:lineRule="auto"/>
        <w:ind w:left="37" w:right="14" w:firstLine="642"/>
        <w:jc w:val="both"/>
        <w:rPr>
          <w:rFonts w:hint="eastAsia"/>
          <w:sz w:val="28"/>
          <w:szCs w:val="36"/>
          <w:lang w:val="en-US" w:eastAsia="zh-CN"/>
        </w:rPr>
      </w:pPr>
      <w:r>
        <w:rPr>
          <w:rFonts w:hint="eastAsia"/>
          <w:sz w:val="28"/>
          <w:szCs w:val="36"/>
          <w:lang w:val="en-US" w:eastAsia="zh-CN"/>
        </w:rPr>
        <w:t>3.评估范围：覆盖绵阳市游仙区妇幼保健院慧学路院区二期全部区域（面积约4354平方米）和游仙西路用房（面积约1996平方米），包括所有楼宇建筑及附属设施，同时需对历史遗留问题涉及的违章建筑进行专项消防安全评估鉴定，全面摸排消防安全隐患。不同建筑分别进行消防安全评估并完成分项消防安全评估报告，对医院整体消防安全情况完成消防安全评估汇总报告。</w:t>
      </w:r>
    </w:p>
    <w:p w14:paraId="010EDED4">
      <w:pPr>
        <w:spacing w:line="360" w:lineRule="auto"/>
        <w:ind w:left="37" w:right="14" w:firstLine="642"/>
        <w:jc w:val="both"/>
        <w:rPr>
          <w:rFonts w:hint="eastAsia" w:asciiTheme="minorEastAsia" w:hAnsiTheme="minorEastAsia" w:eastAsiaTheme="minorEastAsia" w:cstheme="minorEastAsia"/>
          <w:sz w:val="28"/>
          <w:szCs w:val="28"/>
          <w:lang w:eastAsia="zh-CN"/>
        </w:rPr>
      </w:pPr>
      <w:r>
        <w:rPr>
          <w:rFonts w:hint="eastAsia"/>
          <w:sz w:val="28"/>
          <w:szCs w:val="36"/>
          <w:lang w:val="en-US" w:eastAsia="zh-CN"/>
        </w:rPr>
        <w:t>4.评估实施需按资料审查、现场检查、对照判定的次序开展，现场检查需 100%全覆盖，认真填写《消防安全评估报告》，对发现的问题书面提出初步建议。</w:t>
      </w:r>
    </w:p>
    <w:p w14:paraId="180BA43C">
      <w:pPr>
        <w:spacing w:line="360" w:lineRule="auto"/>
        <w:ind w:firstLine="560" w:firstLineChars="200"/>
        <w:jc w:val="both"/>
        <w:rPr>
          <w:rFonts w:hint="eastAsia" w:asciiTheme="minorEastAsia" w:hAnsiTheme="minorEastAsia" w:eastAsiaTheme="minorEastAsia"/>
          <w:b/>
          <w:bCs/>
          <w:color w:val="auto"/>
          <w:sz w:val="28"/>
          <w:szCs w:val="28"/>
        </w:rPr>
      </w:pPr>
      <w:r>
        <w:rPr>
          <w:rFonts w:hint="eastAsia" w:cs="宋体" w:asciiTheme="minorEastAsia" w:hAnsiTheme="minorEastAsia" w:eastAsiaTheme="minorEastAsia"/>
          <w:b w:val="0"/>
          <w:bCs w:val="0"/>
          <w:color w:val="auto"/>
          <w:sz w:val="28"/>
          <w:szCs w:val="28"/>
          <w:lang w:val="en-US" w:eastAsia="zh-CN"/>
        </w:rPr>
        <w:t xml:space="preserve"> </w:t>
      </w: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8.本项目不接受联合体比选。</w:t>
      </w:r>
    </w:p>
    <w:p w14:paraId="3CFAACF1">
      <w:pPr>
        <w:spacing w:line="360" w:lineRule="auto"/>
        <w:ind w:firstLine="560" w:firstLineChars="200"/>
        <w:jc w:val="both"/>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9.本项目特定资格要求：供应商通过社会消防技术服务信息系统备案（服务类型包含“消防安全评估”，提供该网站的查询截图。）</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9800</w:t>
      </w:r>
      <w:r>
        <w:rPr>
          <w:rFonts w:hint="eastAsia" w:cs="Arial" w:asciiTheme="minorEastAsia" w:hAnsiTheme="minorEastAsia" w:eastAsiaTheme="minorEastAsia"/>
          <w:snapToGrid w:val="0"/>
          <w:sz w:val="28"/>
          <w:szCs w:val="28"/>
        </w:rPr>
        <w:t>元，以人民币一次性报价</w:t>
      </w:r>
      <w:r>
        <w:rPr>
          <w:rFonts w:hint="eastAsia" w:cs="Arial" w:asciiTheme="minorEastAsia" w:hAnsiTheme="minorEastAsia" w:eastAsiaTheme="minorEastAsia"/>
          <w:snapToGrid w:val="0"/>
          <w:sz w:val="28"/>
          <w:szCs w:val="28"/>
          <w:lang w:eastAsia="zh-CN"/>
        </w:rPr>
        <w:t>（</w:t>
      </w:r>
      <w:r>
        <w:rPr>
          <w:rFonts w:hint="eastAsia" w:cs="Arial" w:asciiTheme="minorEastAsia" w:hAnsiTheme="minorEastAsia" w:eastAsiaTheme="minorEastAsia"/>
          <w:snapToGrid w:val="0"/>
          <w:sz w:val="28"/>
          <w:szCs w:val="28"/>
          <w:lang w:val="en-US" w:eastAsia="zh-CN"/>
        </w:rPr>
        <w:t>本次报价不超过控制价）</w:t>
      </w:r>
      <w:r>
        <w:rPr>
          <w:rFonts w:hint="eastAsia" w:cs="Arial" w:asciiTheme="minorEastAsia" w:hAnsiTheme="minorEastAsia" w:eastAsiaTheme="minorEastAsia"/>
          <w:snapToGrid w:val="0"/>
          <w:sz w:val="28"/>
          <w:szCs w:val="28"/>
        </w:rPr>
        <w:t>。报价包含</w:t>
      </w:r>
      <w:r>
        <w:rPr>
          <w:rFonts w:hint="eastAsia" w:cs="Arial" w:asciiTheme="minorEastAsia" w:hAnsiTheme="minorEastAsia" w:eastAsiaTheme="minorEastAsia"/>
          <w:snapToGrid w:val="0"/>
          <w:sz w:val="28"/>
          <w:szCs w:val="28"/>
          <w:lang w:val="en-US" w:eastAsia="zh-CN"/>
        </w:rPr>
        <w:t>人工、差旅、食宿、资料印刷、数据分析等完成本项目的全部费用，采购人无需支付报价外的任何费用。</w:t>
      </w:r>
    </w:p>
    <w:p w14:paraId="201CAC5D">
      <w:pPr>
        <w:numPr>
          <w:ilvl w:val="0"/>
          <w:numId w:val="2"/>
        </w:num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商务要求</w:t>
      </w:r>
    </w:p>
    <w:p w14:paraId="1F8CFC15">
      <w:pPr>
        <w:pStyle w:val="10"/>
        <w:numPr>
          <w:ilvl w:val="0"/>
          <w:numId w:val="0"/>
        </w:numPr>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lang w:val="en-US" w:eastAsia="zh-CN"/>
        </w:rPr>
      </w:pPr>
      <w:r>
        <w:rPr>
          <w:rFonts w:hint="eastAsia" w:cs="Arial" w:asciiTheme="minorEastAsia" w:hAnsiTheme="minorEastAsia" w:eastAsiaTheme="minorEastAsia"/>
          <w:snapToGrid w:val="0"/>
          <w:sz w:val="28"/>
          <w:szCs w:val="28"/>
          <w:lang w:val="en-US" w:eastAsia="zh-CN"/>
        </w:rPr>
        <w:t>1.合同签订后一个月内完成评估，出具首次评估报告；待甲方整改完成后进行现场复评，7天内出具最终评估报告。如因采购人或不可抗力因素导致工期延误，工期顺延。</w:t>
      </w:r>
    </w:p>
    <w:p w14:paraId="4873C3E7">
      <w:pPr>
        <w:pStyle w:val="10"/>
        <w:numPr>
          <w:ilvl w:val="0"/>
          <w:numId w:val="0"/>
        </w:numPr>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lang w:val="en-US" w:eastAsia="zh-CN"/>
        </w:rPr>
      </w:pPr>
      <w:r>
        <w:rPr>
          <w:rFonts w:hint="eastAsia" w:cs="Arial" w:asciiTheme="minorEastAsia" w:hAnsiTheme="minorEastAsia" w:eastAsiaTheme="minorEastAsia"/>
          <w:snapToGrid w:val="0"/>
          <w:sz w:val="28"/>
          <w:szCs w:val="28"/>
          <w:lang w:val="en-US" w:eastAsia="zh-CN"/>
        </w:rPr>
        <w:t xml:space="preserve">2.付款方式：本项目消防安全评估服务完成后，按照合同标准进行验收，验收合格后，采购人收到中标人出具的正规、合法、有效完税发票后20个工作日内，按照合同约定金额向中标人一次性支付款项。 </w:t>
      </w:r>
    </w:p>
    <w:p w14:paraId="5DF1C6AD">
      <w:pPr>
        <w:spacing w:line="360" w:lineRule="auto"/>
        <w:ind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eastAsia" w:asciiTheme="minorEastAsia" w:hAnsiTheme="minorEastAsia" w:eastAsiaTheme="minorEastAsia" w:cs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hint="eastAsia" w:asciiTheme="minorEastAsia" w:hAnsiTheme="minorEastAsia" w:eastAsiaTheme="minorEastAsia" w:cstheme="minorEastAsia"/>
          <w:sz w:val="28"/>
          <w:szCs w:val="28"/>
        </w:rPr>
        <w:t>0816-</w:t>
      </w:r>
      <w:r>
        <w:rPr>
          <w:rFonts w:hint="eastAsia" w:asciiTheme="minorEastAsia" w:hAnsiTheme="minorEastAsia" w:eastAsiaTheme="minorEastAsia" w:cstheme="minorEastAsia"/>
          <w:sz w:val="28"/>
          <w:szCs w:val="28"/>
          <w:lang w:val="en-US" w:eastAsia="zh-CN"/>
        </w:rPr>
        <w:t>8702118</w:t>
      </w:r>
      <w:r>
        <w:rPr>
          <w:rFonts w:hint="eastAsia" w:asciiTheme="minorEastAsia" w:hAnsiTheme="minorEastAsia" w:eastAsiaTheme="minorEastAsia" w:cstheme="minorEastAsia"/>
          <w:snapToGrid w:val="0"/>
          <w:color w:val="auto"/>
          <w:sz w:val="28"/>
          <w:szCs w:val="28"/>
          <w:lang w:val="en-US" w:eastAsia="zh-CN"/>
        </w:rPr>
        <w:t xml:space="preserve"> </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ind w:firstLine="1325" w:firstLineChars="300"/>
        <w:jc w:val="both"/>
        <w:rPr>
          <w:rFonts w:hint="default" w:eastAsiaTheme="minorEastAsia"/>
          <w:color w:val="auto"/>
          <w:sz w:val="44"/>
          <w:szCs w:val="44"/>
          <w:lang w:val="en-US" w:eastAsia="zh-CN"/>
        </w:rPr>
      </w:pPr>
      <w:r>
        <w:rPr>
          <w:rFonts w:hint="eastAsia" w:eastAsiaTheme="minorEastAsia"/>
          <w:b/>
          <w:bCs/>
          <w:color w:val="auto"/>
          <w:sz w:val="44"/>
          <w:szCs w:val="44"/>
          <w:lang w:val="en-US" w:eastAsia="zh-CN"/>
        </w:rPr>
        <w:t>二、法人代表人身份证复印件</w:t>
      </w: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lang w:val="en-US" w:eastAsia="zh-CN"/>
        </w:rPr>
        <w:sectPr>
          <w:pgSz w:w="11906" w:h="16839"/>
          <w:pgMar w:top="1440" w:right="1797" w:bottom="1440" w:left="1797" w:header="0" w:footer="0" w:gutter="0"/>
          <w:cols w:space="720" w:num="1"/>
        </w:sectPr>
      </w:pP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0"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0"/>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比选采购公告，经我方认真研判核对，我方产品能完全满足贵方</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和要求，故决定参加比选。我方报价如下：</w:t>
      </w:r>
    </w:p>
    <w:p w14:paraId="073FE282">
      <w:pPr>
        <w:spacing w:line="360" w:lineRule="auto"/>
        <w:ind w:firstLine="560" w:firstLineChars="200"/>
        <w:jc w:val="both"/>
        <w:rPr>
          <w:rFonts w:hint="default" w:ascii="宋体" w:hAnsi="宋体" w:eastAsia="宋体"/>
          <w:color w:val="auto"/>
          <w:sz w:val="28"/>
          <w:szCs w:val="28"/>
          <w:u w:val="single"/>
          <w:lang w:val="en-US" w:eastAsia="zh-CN"/>
        </w:rPr>
      </w:pPr>
      <w:r>
        <w:rPr>
          <w:rFonts w:hint="eastAsia" w:ascii="宋体" w:hAnsi="宋体" w:eastAsia="宋体"/>
          <w:color w:val="auto"/>
          <w:sz w:val="28"/>
          <w:szCs w:val="28"/>
          <w:u w:val="single"/>
          <w:lang w:val="en-US" w:eastAsia="zh-CN"/>
        </w:rPr>
        <w:t xml:space="preserve">人民币：            （大写）            </w:t>
      </w:r>
    </w:p>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w:t>
      </w:r>
      <w:r>
        <w:rPr>
          <w:rFonts w:hint="eastAsia" w:cs="Arial" w:asciiTheme="minorEastAsia" w:hAnsiTheme="minorEastAsia" w:eastAsiaTheme="minorEastAsia"/>
          <w:snapToGrid w:val="0"/>
          <w:sz w:val="28"/>
          <w:szCs w:val="28"/>
          <w:lang w:val="en-US" w:eastAsia="zh-CN"/>
        </w:rPr>
        <w:t>人工、差旅、食宿、资料印刷、数据分析等完成本项目的全部费用</w:t>
      </w:r>
      <w:r>
        <w:rPr>
          <w:rFonts w:hint="eastAsia" w:ascii="宋体" w:hAnsi="宋体" w:eastAsia="宋体"/>
          <w:color w:val="auto"/>
          <w:sz w:val="28"/>
          <w:szCs w:val="28"/>
        </w:rPr>
        <w:t>，不再向贵院收取其它任何费用；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1354BFAC">
      <w:pPr>
        <w:spacing w:line="360" w:lineRule="auto"/>
        <w:ind w:left="133"/>
        <w:jc w:val="center"/>
        <w:rPr>
          <w:rFonts w:hint="eastAsia" w:ascii="宋体" w:hAnsi="宋体" w:eastAsia="宋体" w:cs="仿宋"/>
          <w:b/>
          <w:bCs/>
          <w:color w:val="auto"/>
          <w:sz w:val="44"/>
          <w:szCs w:val="44"/>
        </w:rPr>
      </w:pPr>
      <w:bookmarkStart w:id="1" w:name="_Toc87974341"/>
      <w:bookmarkStart w:id="2" w:name="_Toc443397363"/>
      <w:bookmarkStart w:id="3" w:name="_Toc482266098"/>
      <w:bookmarkStart w:id="4" w:name="_Toc13563815"/>
      <w:bookmarkStart w:id="5" w:name="_Toc11832062"/>
    </w:p>
    <w:p w14:paraId="3D2DD97F">
      <w:pPr>
        <w:spacing w:line="360" w:lineRule="auto"/>
        <w:ind w:left="133"/>
        <w:jc w:val="center"/>
        <w:rPr>
          <w:rFonts w:hint="eastAsia" w:ascii="宋体" w:hAnsi="宋体" w:eastAsia="宋体" w:cs="仿宋"/>
          <w:b/>
          <w:bCs/>
          <w:color w:val="auto"/>
          <w:sz w:val="44"/>
          <w:szCs w:val="44"/>
        </w:rPr>
      </w:pPr>
    </w:p>
    <w:p w14:paraId="78378B1C">
      <w:pPr>
        <w:spacing w:line="360" w:lineRule="auto"/>
        <w:ind w:left="133"/>
        <w:jc w:val="center"/>
        <w:rPr>
          <w:rFonts w:hint="eastAsia" w:ascii="宋体" w:hAnsi="宋体" w:eastAsia="宋体" w:cs="仿宋"/>
          <w:b/>
          <w:bCs/>
          <w:color w:val="auto"/>
          <w:sz w:val="44"/>
          <w:szCs w:val="44"/>
        </w:rPr>
      </w:pPr>
      <w:r>
        <w:rPr>
          <w:rFonts w:hint="eastAsia" w:ascii="宋体" w:hAnsi="宋体" w:eastAsia="宋体" w:cs="仿宋"/>
          <w:b/>
          <w:bCs/>
          <w:color w:val="auto"/>
          <w:sz w:val="44"/>
          <w:szCs w:val="44"/>
          <w:lang w:val="en-US" w:eastAsia="zh-CN"/>
        </w:rPr>
        <w:t>六</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服务内容</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要求</w:t>
      </w:r>
      <w:r>
        <w:rPr>
          <w:rFonts w:hint="eastAsia" w:ascii="宋体" w:hAnsi="宋体" w:eastAsia="宋体" w:cs="仿宋"/>
          <w:b/>
          <w:bCs/>
          <w:color w:val="auto"/>
          <w:sz w:val="44"/>
          <w:szCs w:val="44"/>
        </w:rPr>
        <w:t>响应应答表</w:t>
      </w:r>
      <w:bookmarkEnd w:id="1"/>
      <w:bookmarkEnd w:id="2"/>
      <w:bookmarkEnd w:id="3"/>
      <w:bookmarkEnd w:id="4"/>
      <w:bookmarkEnd w:id="5"/>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23"/>
        <w:gridCol w:w="2025"/>
        <w:gridCol w:w="1950"/>
        <w:gridCol w:w="1207"/>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default"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服务内容及要求</w:t>
            </w:r>
          </w:p>
        </w:tc>
        <w:tc>
          <w:tcPr>
            <w:tcW w:w="2025"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1950"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207"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53FC55FF">
      <w:pPr>
        <w:numPr>
          <w:ilvl w:val="0"/>
          <w:numId w:val="3"/>
        </w:num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供应商应根据比选文件中的服务指标、服务要求，逐项、详细、真实的填写应尽可能提供相应证明材料。</w:t>
      </w:r>
    </w:p>
    <w:p w14:paraId="4421E336">
      <w:pPr>
        <w:numPr>
          <w:ilvl w:val="0"/>
          <w:numId w:val="0"/>
        </w:numPr>
        <w:spacing w:line="360" w:lineRule="auto"/>
        <w:ind w:leftChars="200" w:firstLine="280" w:firstLineChars="1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6" w:name="_Toc11764032"/>
      <w:bookmarkStart w:id="7" w:name="_Toc482266101"/>
      <w:bookmarkStart w:id="8" w:name="_Toc443397365"/>
      <w:bookmarkStart w:id="9" w:name="_Toc13563872"/>
      <w:r>
        <w:rPr>
          <w:rFonts w:hint="eastAsia" w:cs="仿宋" w:asciiTheme="minorEastAsia" w:hAnsiTheme="minorEastAsia" w:eastAsiaTheme="minorEastAsia"/>
          <w:b/>
          <w:bCs/>
          <w:color w:val="auto"/>
          <w:sz w:val="44"/>
          <w:szCs w:val="44"/>
          <w:lang w:val="en-US" w:eastAsia="zh-CN"/>
        </w:rPr>
        <w:t>七</w:t>
      </w:r>
      <w:r>
        <w:rPr>
          <w:rFonts w:hint="eastAsia" w:cs="仿宋" w:asciiTheme="minorEastAsia" w:hAnsiTheme="minorEastAsia" w:eastAsiaTheme="minorEastAsia"/>
          <w:b/>
          <w:bCs/>
          <w:color w:val="auto"/>
          <w:sz w:val="44"/>
          <w:szCs w:val="44"/>
        </w:rPr>
        <w:t>、商务应答表</w:t>
      </w:r>
      <w:bookmarkEnd w:id="6"/>
      <w:bookmarkEnd w:id="7"/>
      <w:bookmarkEnd w:id="8"/>
      <w:bookmarkEnd w:id="9"/>
    </w:p>
    <w:tbl>
      <w:tblPr>
        <w:tblStyle w:val="1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06"/>
        <w:gridCol w:w="3079"/>
        <w:gridCol w:w="1361"/>
        <w:gridCol w:w="79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11042511">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670EAD34">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lang w:val="en-US" w:eastAsia="zh-CN"/>
              </w:rPr>
              <w:t>比选文件商务要求</w:t>
            </w:r>
          </w:p>
        </w:tc>
        <w:tc>
          <w:tcPr>
            <w:tcW w:w="0" w:type="auto"/>
            <w:tcBorders>
              <w:top w:val="single" w:color="auto" w:sz="4" w:space="0"/>
              <w:left w:val="single" w:color="auto" w:sz="4" w:space="0"/>
              <w:bottom w:val="single" w:color="auto" w:sz="4" w:space="0"/>
              <w:right w:val="single" w:color="auto" w:sz="4" w:space="0"/>
            </w:tcBorders>
            <w:vAlign w:val="center"/>
          </w:tcPr>
          <w:p w14:paraId="39178E4A">
            <w:pPr>
              <w:snapToGrid w:val="0"/>
              <w:spacing w:line="240" w:lineRule="auto"/>
              <w:ind w:left="0" w:leftChars="0" w:right="0" w:rightChars="0" w:firstLine="0" w:firstLineChars="0"/>
              <w:jc w:val="center"/>
              <w:rPr>
                <w:rFonts w:hint="default" w:cs="仿宋" w:asciiTheme="minorEastAsia" w:hAnsiTheme="minorEastAsia" w:eastAsiaTheme="minorEastAsia"/>
                <w:b/>
                <w:color w:val="auto"/>
                <w:sz w:val="28"/>
                <w:szCs w:val="28"/>
                <w:lang w:val="en-US" w:eastAsia="zh-CN"/>
              </w:rPr>
            </w:pPr>
            <w:r>
              <w:rPr>
                <w:rFonts w:hint="eastAsia" w:cs="仿宋" w:asciiTheme="minorEastAsia" w:hAnsiTheme="minorEastAsia" w:eastAsiaTheme="minorEastAsia"/>
                <w:b/>
                <w:color w:val="auto"/>
                <w:sz w:val="28"/>
                <w:szCs w:val="28"/>
                <w:lang w:val="en-US" w:eastAsia="zh-CN"/>
              </w:rPr>
              <w:t>比选响应文件商务要求</w:t>
            </w:r>
          </w:p>
        </w:tc>
        <w:tc>
          <w:tcPr>
            <w:tcW w:w="0" w:type="auto"/>
            <w:tcBorders>
              <w:top w:val="single" w:color="auto" w:sz="4" w:space="0"/>
              <w:left w:val="single" w:color="auto" w:sz="4" w:space="0"/>
              <w:bottom w:val="single" w:color="auto" w:sz="4" w:space="0"/>
              <w:right w:val="single" w:color="auto" w:sz="4" w:space="0"/>
            </w:tcBorders>
            <w:vAlign w:val="center"/>
          </w:tcPr>
          <w:p w14:paraId="57BA8406">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投标应答</w:t>
            </w:r>
          </w:p>
        </w:tc>
        <w:tc>
          <w:tcPr>
            <w:tcW w:w="790" w:type="dxa"/>
            <w:tcBorders>
              <w:top w:val="single" w:color="auto" w:sz="4" w:space="0"/>
              <w:left w:val="single" w:color="auto" w:sz="4" w:space="0"/>
              <w:bottom w:val="single" w:color="auto" w:sz="4" w:space="0"/>
              <w:right w:val="single" w:color="auto" w:sz="4" w:space="0"/>
            </w:tcBorders>
            <w:vAlign w:val="center"/>
          </w:tcPr>
          <w:p w14:paraId="2967BD89">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5D21DEB">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14:paraId="1BC99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684FE4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65B27AC0">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0B1C006E">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409DC9">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14:paraId="34CE48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7EE9C5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365F4146">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7F57EE92">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CCDD88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3</w:t>
            </w:r>
          </w:p>
        </w:tc>
        <w:tc>
          <w:tcPr>
            <w:tcW w:w="0" w:type="auto"/>
            <w:tcBorders>
              <w:top w:val="single" w:color="auto" w:sz="4" w:space="0"/>
              <w:left w:val="single" w:color="auto" w:sz="4" w:space="0"/>
              <w:bottom w:val="single" w:color="auto" w:sz="4" w:space="0"/>
              <w:right w:val="single" w:color="auto" w:sz="4" w:space="0"/>
            </w:tcBorders>
            <w:vAlign w:val="center"/>
          </w:tcPr>
          <w:p w14:paraId="6BBB788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14:paraId="2E657A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5B94F24A">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7C1FE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03B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4A63E05">
            <w:pPr>
              <w:snapToGrid w:val="0"/>
              <w:spacing w:line="240" w:lineRule="auto"/>
              <w:ind w:left="0" w:leftChars="0" w:right="0" w:rightChars="0" w:firstLine="0" w:firstLineChars="0"/>
              <w:jc w:val="center"/>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4</w:t>
            </w:r>
          </w:p>
        </w:tc>
        <w:tc>
          <w:tcPr>
            <w:tcW w:w="2506" w:type="dxa"/>
            <w:tcBorders>
              <w:top w:val="single" w:color="auto" w:sz="4" w:space="0"/>
              <w:left w:val="single" w:color="auto" w:sz="4" w:space="0"/>
              <w:bottom w:val="single" w:color="auto" w:sz="4" w:space="0"/>
              <w:right w:val="single" w:color="auto" w:sz="4" w:space="0"/>
            </w:tcBorders>
            <w:vAlign w:val="center"/>
          </w:tcPr>
          <w:p w14:paraId="231F9C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0FF2D0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14:paraId="62DAA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57130D9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lang w:val="en-US" w:eastAsia="zh-CN"/>
        </w:rPr>
        <w:t>八</w:t>
      </w:r>
      <w:bookmarkStart w:id="10" w:name="_GoBack"/>
      <w:bookmarkEnd w:id="10"/>
      <w:r>
        <w:rPr>
          <w:rFonts w:hint="eastAsia" w:ascii="宋体" w:hAnsi="宋体" w:eastAsia="宋体" w:cs="宋体"/>
          <w:b/>
          <w:bCs/>
          <w:color w:val="auto"/>
          <w:sz w:val="44"/>
          <w:szCs w:val="44"/>
        </w:rPr>
        <w:t>、供应商的承诺函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2D9331-91EF-4FB5-8E98-ABCD5CD595BA}"/>
  </w:font>
  <w:font w:name="黑体">
    <w:panose1 w:val="02010609060101010101"/>
    <w:charset w:val="86"/>
    <w:family w:val="auto"/>
    <w:pitch w:val="default"/>
    <w:sig w:usb0="800002BF" w:usb1="38CF7CFA" w:usb2="00000016" w:usb3="00000000" w:csb0="00040001" w:csb1="00000000"/>
    <w:embedRegular r:id="rId2" w:fontKey="{066ECCC9-482B-406B-A68F-6777C4DF96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D617466-A628-45B9-A1BB-A7081FF2FB99}"/>
  </w:font>
  <w:font w:name="方正小标宋简体">
    <w:panose1 w:val="03000509000000000000"/>
    <w:charset w:val="86"/>
    <w:family w:val="script"/>
    <w:pitch w:val="default"/>
    <w:sig w:usb0="00000001" w:usb1="080E0000" w:usb2="00000000" w:usb3="00000000" w:csb0="00040000" w:csb1="00000000"/>
    <w:embedRegular r:id="rId4" w:fontKey="{DEDBEC35-67F3-4312-A19F-BAAF73CCD36A}"/>
  </w:font>
  <w:font w:name="微软雅黑">
    <w:panose1 w:val="020B0503020204020204"/>
    <w:charset w:val="86"/>
    <w:family w:val="swiss"/>
    <w:pitch w:val="default"/>
    <w:sig w:usb0="80000287" w:usb1="2ACF3C50" w:usb2="00000016" w:usb3="00000000" w:csb0="0004001F" w:csb1="00000000"/>
    <w:embedRegular r:id="rId5" w:fontKey="{6118BA26-7EA9-486E-AA55-560C438E89B1}"/>
  </w:font>
  <w:font w:name="仿宋">
    <w:panose1 w:val="02010609060101010101"/>
    <w:charset w:val="86"/>
    <w:family w:val="modern"/>
    <w:pitch w:val="default"/>
    <w:sig w:usb0="800002BF" w:usb1="38CF7CFA" w:usb2="00000016" w:usb3="00000000" w:csb0="00040001" w:csb1="00000000"/>
    <w:embedRegular r:id="rId6" w:fontKey="{40FBCADD-57C9-42E7-81E9-8FC012E7717C}"/>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AB2A"/>
    <w:multiLevelType w:val="singleLevel"/>
    <w:tmpl w:val="9A2EAB2A"/>
    <w:lvl w:ilvl="0" w:tentative="0">
      <w:start w:val="2"/>
      <w:numFmt w:val="decimal"/>
      <w:lvlText w:val="%1."/>
      <w:lvlJc w:val="left"/>
      <w:pPr>
        <w:tabs>
          <w:tab w:val="left" w:pos="312"/>
        </w:tabs>
      </w:pPr>
    </w:lvl>
  </w:abstractNum>
  <w:abstractNum w:abstractNumId="1">
    <w:nsid w:val="9B463CB3"/>
    <w:multiLevelType w:val="singleLevel"/>
    <w:tmpl w:val="9B463CB3"/>
    <w:lvl w:ilvl="0" w:tentative="0">
      <w:start w:val="1"/>
      <w:numFmt w:val="chineseCounting"/>
      <w:suff w:val="nothing"/>
      <w:lvlText w:val="%1、"/>
      <w:lvlJc w:val="left"/>
      <w:rPr>
        <w:rFonts w:hint="eastAsia"/>
      </w:rPr>
    </w:lvl>
  </w:abstractNum>
  <w:abstractNum w:abstractNumId="2">
    <w:nsid w:val="0990008E"/>
    <w:multiLevelType w:val="singleLevel"/>
    <w:tmpl w:val="0990008E"/>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22857F8"/>
    <w:rsid w:val="07842862"/>
    <w:rsid w:val="098C0EB5"/>
    <w:rsid w:val="09C6634C"/>
    <w:rsid w:val="0D9A5C7B"/>
    <w:rsid w:val="0E7209E7"/>
    <w:rsid w:val="11D70EC1"/>
    <w:rsid w:val="11E169CC"/>
    <w:rsid w:val="12DE6F90"/>
    <w:rsid w:val="144F1949"/>
    <w:rsid w:val="151E215B"/>
    <w:rsid w:val="15537C7C"/>
    <w:rsid w:val="158C17BA"/>
    <w:rsid w:val="173F4D41"/>
    <w:rsid w:val="1E500961"/>
    <w:rsid w:val="201725C8"/>
    <w:rsid w:val="227E5313"/>
    <w:rsid w:val="26ED7BDF"/>
    <w:rsid w:val="29276970"/>
    <w:rsid w:val="293875E8"/>
    <w:rsid w:val="2BDE5A01"/>
    <w:rsid w:val="2CB63FA3"/>
    <w:rsid w:val="2D6450D7"/>
    <w:rsid w:val="327718A3"/>
    <w:rsid w:val="348155AD"/>
    <w:rsid w:val="35FA6EE9"/>
    <w:rsid w:val="36D74F09"/>
    <w:rsid w:val="38066A97"/>
    <w:rsid w:val="39D96B77"/>
    <w:rsid w:val="3A767A17"/>
    <w:rsid w:val="3B8B624B"/>
    <w:rsid w:val="3C863D23"/>
    <w:rsid w:val="3E524F33"/>
    <w:rsid w:val="40A1006A"/>
    <w:rsid w:val="43BA5CB2"/>
    <w:rsid w:val="44C666DF"/>
    <w:rsid w:val="46A00372"/>
    <w:rsid w:val="482C4730"/>
    <w:rsid w:val="483F742D"/>
    <w:rsid w:val="485811E2"/>
    <w:rsid w:val="491A038A"/>
    <w:rsid w:val="4A55439E"/>
    <w:rsid w:val="4A83608C"/>
    <w:rsid w:val="4A8E739B"/>
    <w:rsid w:val="4CD16714"/>
    <w:rsid w:val="4D4C02AB"/>
    <w:rsid w:val="4F9D48D9"/>
    <w:rsid w:val="50106C5B"/>
    <w:rsid w:val="552A3C28"/>
    <w:rsid w:val="555B2AE5"/>
    <w:rsid w:val="556F2587"/>
    <w:rsid w:val="56CA1A16"/>
    <w:rsid w:val="598D634A"/>
    <w:rsid w:val="5AEB247C"/>
    <w:rsid w:val="5C33726B"/>
    <w:rsid w:val="5CB16DED"/>
    <w:rsid w:val="5CDA1AB9"/>
    <w:rsid w:val="5D6B1D7A"/>
    <w:rsid w:val="5E0E40CF"/>
    <w:rsid w:val="60E12C6D"/>
    <w:rsid w:val="647D3D96"/>
    <w:rsid w:val="6CDD7D59"/>
    <w:rsid w:val="6E7F50AE"/>
    <w:rsid w:val="73D61B16"/>
    <w:rsid w:val="751869EF"/>
    <w:rsid w:val="752C3796"/>
    <w:rsid w:val="75DD7A6C"/>
    <w:rsid w:val="78C46566"/>
    <w:rsid w:val="7A91426C"/>
    <w:rsid w:val="7B06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2897</Words>
  <Characters>3013</Characters>
  <Lines>251</Lines>
  <Paragraphs>197</Paragraphs>
  <TotalTime>9</TotalTime>
  <ScaleCrop>false</ScaleCrop>
  <LinksUpToDate>false</LinksUpToDate>
  <CharactersWithSpaces>3384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WPS_1577271290</cp:lastModifiedBy>
  <dcterms:modified xsi:type="dcterms:W3CDTF">2026-04-10T00:06:07Z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