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33E2">
      <w:pPr>
        <w:jc w:val="center"/>
        <w:rPr>
          <w:rFonts w:hint="default"/>
          <w:lang w:val="en-US"/>
        </w:rPr>
      </w:pPr>
      <w:r>
        <w:rPr>
          <w:rFonts w:hint="eastAsia" w:ascii="微软雅黑" w:hAnsi="微软雅黑" w:eastAsia="微软雅黑" w:cs="微软雅黑"/>
          <w:color w:val="auto"/>
          <w:kern w:val="0"/>
          <w:sz w:val="28"/>
          <w:szCs w:val="28"/>
          <w:lang w:val="en-US" w:eastAsia="zh-CN" w:bidi="ar"/>
        </w:rPr>
        <w:t>第三方陪护服务要求及商务要求</w:t>
      </w:r>
    </w:p>
    <w:p w14:paraId="396B34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color w:val="auto"/>
          <w:lang w:val="en-GB"/>
        </w:rPr>
      </w:pPr>
      <w:r>
        <w:rPr>
          <w:rFonts w:hint="eastAsia"/>
          <w:color w:val="auto"/>
          <w:lang w:val="en-US" w:eastAsia="zh-CN"/>
        </w:rPr>
        <w:t>一、</w:t>
      </w:r>
      <w:r>
        <w:rPr>
          <w:rFonts w:hint="eastAsia"/>
          <w:color w:val="auto"/>
          <w:lang w:val="en-GB"/>
        </w:rPr>
        <w:t>总体要求</w:t>
      </w:r>
    </w:p>
    <w:p w14:paraId="60CBD1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1、</w:t>
      </w:r>
      <w:r>
        <w:rPr>
          <w:rFonts w:hint="eastAsia"/>
          <w:color w:val="auto"/>
          <w:lang w:val="en-GB"/>
        </w:rPr>
        <w:t>在院方提供的服务范围内开展</w:t>
      </w:r>
      <w:r>
        <w:rPr>
          <w:rFonts w:hint="eastAsia"/>
          <w:color w:val="auto"/>
        </w:rPr>
        <w:t>陪护</w:t>
      </w:r>
      <w:r>
        <w:rPr>
          <w:rFonts w:hint="eastAsia"/>
          <w:color w:val="auto"/>
          <w:lang w:val="en-GB"/>
        </w:rPr>
        <w:t>服务，服务人员不得同时从事和参与医院内的其他服务项目。</w:t>
      </w:r>
    </w:p>
    <w:p w14:paraId="062572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2、</w:t>
      </w:r>
      <w:r>
        <w:rPr>
          <w:rFonts w:hint="eastAsia"/>
          <w:color w:val="auto"/>
          <w:lang w:val="en-GB"/>
        </w:rPr>
        <w:t>需24小时提供</w:t>
      </w:r>
      <w:r>
        <w:rPr>
          <w:rFonts w:hint="eastAsia"/>
          <w:color w:val="auto"/>
          <w:lang w:val="en-US" w:eastAsia="zh-CN"/>
        </w:rPr>
        <w:t>护理</w:t>
      </w:r>
      <w:r>
        <w:rPr>
          <w:rFonts w:hint="eastAsia"/>
          <w:color w:val="auto"/>
          <w:lang w:val="en-GB"/>
        </w:rPr>
        <w:t>服务人员，全年均可安排人员上岗服务。</w:t>
      </w:r>
    </w:p>
    <w:p w14:paraId="65A2FA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3、</w:t>
      </w:r>
      <w:r>
        <w:rPr>
          <w:rFonts w:hint="eastAsia"/>
          <w:color w:val="auto"/>
          <w:lang w:val="en-GB"/>
        </w:rPr>
        <w:t>本项目需派陪护人员需经过专业培训，持有符合《四川省医疗护理员培训工作方案（试行）》有关规定的医疗护理员证书，具备基本的医学知识和护理技能。身体健康，无传染性疾病，无基础疾病，无精神障碍，上岗前必须有在二甲以上医院进行健康体检报告，上岗后每年进行一次健康体检。无刑事违法或处分犯罪记录。</w:t>
      </w:r>
      <w:r>
        <w:rPr>
          <w:rFonts w:hint="eastAsia"/>
          <w:color w:val="auto"/>
        </w:rPr>
        <w:t>人员年满</w:t>
      </w:r>
      <w:r>
        <w:rPr>
          <w:rFonts w:hint="eastAsia"/>
          <w:color w:val="auto"/>
          <w:lang w:val="en-GB"/>
        </w:rPr>
        <w:t xml:space="preserve">18 </w:t>
      </w:r>
      <w:r>
        <w:rPr>
          <w:rFonts w:hint="eastAsia"/>
          <w:color w:val="auto"/>
        </w:rPr>
        <w:t>周岁，不到</w:t>
      </w:r>
      <w:r>
        <w:rPr>
          <w:rFonts w:hint="eastAsia"/>
          <w:color w:val="auto"/>
          <w:lang w:val="en-GB"/>
        </w:rPr>
        <w:t>60周岁；小学文化及以上，能识字、写字，具备良好的职业道德和服务意识，尊重患者的隐私和权利，工作认真负责、耐心细致。</w:t>
      </w:r>
    </w:p>
    <w:p w14:paraId="387721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4、</w:t>
      </w:r>
      <w:r>
        <w:rPr>
          <w:rFonts w:hint="eastAsia"/>
          <w:color w:val="auto"/>
          <w:lang w:val="en-GB"/>
        </w:rPr>
        <w:t>陪护公司(供应商)须积极组织陪护人员参加岗前培训考核和岗位培训考核，所有为医院患者提供陪护服务的人员应经培训考核合格后上岗，</w:t>
      </w:r>
      <w:r>
        <w:rPr>
          <w:rFonts w:hint="eastAsia"/>
          <w:color w:val="auto"/>
        </w:rPr>
        <w:t>供应商为</w:t>
      </w:r>
      <w:r>
        <w:rPr>
          <w:rFonts w:hint="eastAsia"/>
          <w:color w:val="auto"/>
          <w:lang w:val="en-GB"/>
        </w:rPr>
        <w:t>陪护人员提供服务时佩戴</w:t>
      </w:r>
      <w:r>
        <w:rPr>
          <w:rFonts w:hint="eastAsia"/>
          <w:color w:val="auto"/>
        </w:rPr>
        <w:t>的</w:t>
      </w:r>
      <w:r>
        <w:rPr>
          <w:rFonts w:hint="eastAsia"/>
          <w:color w:val="auto"/>
          <w:lang w:val="en-GB"/>
        </w:rPr>
        <w:t>公司统一证件</w:t>
      </w:r>
      <w:r>
        <w:rPr>
          <w:rFonts w:hint="eastAsia"/>
          <w:color w:val="auto"/>
        </w:rPr>
        <w:t>和</w:t>
      </w:r>
      <w:r>
        <w:rPr>
          <w:rFonts w:hint="eastAsia"/>
          <w:color w:val="auto"/>
          <w:lang w:val="en-GB"/>
        </w:rPr>
        <w:t>工作服。</w:t>
      </w:r>
    </w:p>
    <w:p w14:paraId="4D4937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5、</w:t>
      </w:r>
      <w:r>
        <w:rPr>
          <w:rFonts w:hint="eastAsia"/>
          <w:color w:val="auto"/>
          <w:lang w:val="en-GB"/>
        </w:rPr>
        <w:t>陪护公司(供应商)在医院范围内开展陪护项目管理活动时，其使用的印章、标识、标牌、各种宣传资料不得以医院名义，不得向患者和家属做出与医院有隶属、代理等关系的误导宣传，陪护公司人员着装配饰</w:t>
      </w:r>
      <w:r>
        <w:rPr>
          <w:rFonts w:hint="eastAsia"/>
          <w:color w:val="auto"/>
        </w:rPr>
        <w:t>也</w:t>
      </w:r>
      <w:r>
        <w:rPr>
          <w:rFonts w:hint="eastAsia"/>
          <w:color w:val="auto"/>
          <w:lang w:val="en-GB"/>
        </w:rPr>
        <w:t>应当明显区别于医院员工所使用的服装及配饰，以免患者及家属产生混淆。</w:t>
      </w:r>
    </w:p>
    <w:p w14:paraId="0CE2DD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6、</w:t>
      </w:r>
      <w:r>
        <w:rPr>
          <w:rFonts w:hint="eastAsia"/>
          <w:color w:val="auto"/>
          <w:lang w:val="en-GB"/>
        </w:rPr>
        <w:t>供应商依法与所属</w:t>
      </w:r>
      <w:r>
        <w:rPr>
          <w:rFonts w:hint="eastAsia"/>
          <w:color w:val="auto"/>
          <w:lang w:val="en-US" w:eastAsia="zh-CN"/>
        </w:rPr>
        <w:t>护理员</w:t>
      </w:r>
      <w:r>
        <w:rPr>
          <w:rFonts w:hint="eastAsia"/>
          <w:color w:val="auto"/>
        </w:rPr>
        <w:t>建立劳务用工关系并</w:t>
      </w:r>
      <w:r>
        <w:rPr>
          <w:rFonts w:hint="eastAsia"/>
          <w:color w:val="auto"/>
          <w:lang w:val="en-GB"/>
        </w:rPr>
        <w:t>签订</w:t>
      </w:r>
      <w:r>
        <w:rPr>
          <w:rFonts w:hint="eastAsia"/>
          <w:color w:val="auto"/>
        </w:rPr>
        <w:t>协议</w:t>
      </w:r>
      <w:r>
        <w:rPr>
          <w:rFonts w:hint="eastAsia"/>
          <w:color w:val="auto"/>
          <w:lang w:val="en-GB"/>
        </w:rPr>
        <w:t>，</w:t>
      </w:r>
      <w:r>
        <w:rPr>
          <w:rFonts w:hint="eastAsia"/>
          <w:color w:val="auto"/>
        </w:rPr>
        <w:t>陪护人员与采购人不发生任何人事隶属关系。</w:t>
      </w:r>
    </w:p>
    <w:p w14:paraId="7649F4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7、</w:t>
      </w:r>
      <w:r>
        <w:rPr>
          <w:rFonts w:hint="eastAsia"/>
          <w:color w:val="auto"/>
          <w:lang w:val="en-GB"/>
        </w:rPr>
        <w:t>供应商必须购买相应的陪护供应商业保险，以降低所属</w:t>
      </w:r>
      <w:r>
        <w:rPr>
          <w:rFonts w:hint="eastAsia"/>
          <w:color w:val="auto"/>
          <w:lang w:val="en-US" w:eastAsia="zh-CN"/>
        </w:rPr>
        <w:t>护理员</w:t>
      </w:r>
      <w:r>
        <w:rPr>
          <w:rFonts w:hint="eastAsia"/>
          <w:color w:val="auto"/>
          <w:lang w:val="en-GB"/>
        </w:rPr>
        <w:t>在提供陪护服务过程中的意外风险。</w:t>
      </w:r>
    </w:p>
    <w:p w14:paraId="0E2B72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8、供应商</w:t>
      </w:r>
      <w:r>
        <w:rPr>
          <w:rFonts w:hint="eastAsia"/>
          <w:color w:val="auto"/>
          <w:lang w:val="en-GB"/>
        </w:rPr>
        <w:t>负责解决与陪护人员的劳务或劳动纠纷、与患者因生活陪护发生的纠纷；给陪护人员提供保险等国家福利。</w:t>
      </w:r>
    </w:p>
    <w:p w14:paraId="33E57C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lang w:val="en-GB"/>
        </w:rPr>
      </w:pPr>
      <w:r>
        <w:rPr>
          <w:rFonts w:hint="eastAsia"/>
          <w:color w:val="auto"/>
        </w:rPr>
        <w:t>9、供应商与</w:t>
      </w:r>
      <w:r>
        <w:rPr>
          <w:rFonts w:hint="eastAsia"/>
          <w:color w:val="auto"/>
          <w:lang w:val="en-US" w:eastAsia="zh-CN"/>
        </w:rPr>
        <w:t>护理员</w:t>
      </w:r>
      <w:r>
        <w:rPr>
          <w:rFonts w:hint="eastAsia"/>
          <w:color w:val="auto"/>
        </w:rPr>
        <w:t>、患者签订三方协议，</w:t>
      </w:r>
      <w:r>
        <w:rPr>
          <w:rFonts w:hint="eastAsia"/>
          <w:color w:val="auto"/>
          <w:lang w:val="en-US" w:eastAsia="zh-CN"/>
        </w:rPr>
        <w:t>护理员</w:t>
      </w:r>
      <w:r>
        <w:rPr>
          <w:rFonts w:hint="eastAsia"/>
          <w:color w:val="auto"/>
        </w:rPr>
        <w:t>与患者、患者亲属之间产生的纠纷由供应商负责，由此给医院造成的不良影响或损失由供应商负责。</w:t>
      </w:r>
      <w:r>
        <w:rPr>
          <w:rFonts w:hint="eastAsia"/>
          <w:color w:val="auto"/>
          <w:lang w:val="en-GB"/>
        </w:rPr>
        <w:t>因陪护在提供服务的过程中造成患者及他人的人身和财产损害或不良的社会影响等，由供应商承担相应的经济赔偿及法律责任，采购人不承担连带责任。</w:t>
      </w:r>
    </w:p>
    <w:p w14:paraId="05F7DB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rPr>
      </w:pPr>
      <w:r>
        <w:rPr>
          <w:rFonts w:hint="eastAsia"/>
          <w:color w:val="auto"/>
        </w:rPr>
        <w:t>10、供应商应公示收费项目并向患者提供有效票据，严禁陪护人员私自向患者及家属收取小费等。</w:t>
      </w:r>
    </w:p>
    <w:p w14:paraId="10A910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lang w:val="en-GB"/>
        </w:rPr>
      </w:pPr>
      <w:r>
        <w:rPr>
          <w:rFonts w:hint="eastAsia"/>
          <w:color w:val="auto"/>
        </w:rPr>
        <w:t>11、</w:t>
      </w:r>
      <w:r>
        <w:rPr>
          <w:rFonts w:hint="eastAsia"/>
          <w:color w:val="auto"/>
          <w:lang w:val="en-GB"/>
        </w:rPr>
        <w:t>供应商应对现场服务人员建立书面或电子档案，包括但不限定于个人简历、证书、职称及资质、健康证及资信等，保证服务人员有据可查，具备可追溯性。所有</w:t>
      </w:r>
      <w:r>
        <w:rPr>
          <w:rFonts w:hint="eastAsia"/>
          <w:color w:val="auto"/>
        </w:rPr>
        <w:t>服务</w:t>
      </w:r>
      <w:r>
        <w:rPr>
          <w:rFonts w:hint="eastAsia"/>
          <w:color w:val="auto"/>
          <w:lang w:val="en-GB"/>
        </w:rPr>
        <w:t>人员必须持有效健康证明上岗，不得超期使用健康证明，建立从业人员卫生档案。</w:t>
      </w:r>
    </w:p>
    <w:p w14:paraId="40DD8D2C">
      <w:pPr>
        <w:pStyle w:val="3"/>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color w:val="auto"/>
          <w:lang w:val="en-GB"/>
        </w:rPr>
      </w:pPr>
      <w:r>
        <w:rPr>
          <w:rFonts w:hint="eastAsia"/>
          <w:color w:val="auto"/>
          <w:lang w:val="en-US" w:eastAsia="zh-CN"/>
        </w:rPr>
        <w:t>二、</w:t>
      </w:r>
      <w:r>
        <w:rPr>
          <w:rFonts w:hint="eastAsia"/>
          <w:color w:val="auto"/>
        </w:rPr>
        <w:t>护理员生活照护服务内容</w:t>
      </w:r>
    </w:p>
    <w:p w14:paraId="0E7DA52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基本要求</w:t>
      </w:r>
    </w:p>
    <w:p w14:paraId="0534BC2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具有一定的文化程度、沟通能力、协作意识和人文关怀素养。</w:t>
      </w:r>
    </w:p>
    <w:p w14:paraId="532303D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身体健康、品行良好、有责任心、具备良好的职业道德。</w:t>
      </w:r>
    </w:p>
    <w:p w14:paraId="01579A5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熟悉并遵守医院相关规章制度,举止文明、态度和蔼、着装整洁。</w:t>
      </w:r>
    </w:p>
    <w:p w14:paraId="18C7B9E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具备履行医疗护理员岗位职责所必需的理论知识和实践技能。</w:t>
      </w:r>
    </w:p>
    <w:p w14:paraId="4134317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尊重关心爱护患者,维护患者权益,保护患者隐私。</w:t>
      </w:r>
    </w:p>
    <w:p w14:paraId="0A5A269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在医务人员指导下,协助提供助餐、助洁、助浴等生活照护服务。</w:t>
      </w:r>
    </w:p>
    <w:p w14:paraId="3F8833B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color w:val="auto"/>
        </w:rPr>
      </w:pPr>
      <w:r>
        <w:rPr>
          <w:rFonts w:hint="eastAsia"/>
          <w:color w:val="auto"/>
        </w:rPr>
        <w:t>严禁替代医务人员从事医疗护理专业技术性工作。</w:t>
      </w:r>
    </w:p>
    <w:p w14:paraId="7175832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清洁照护服务内容</w:t>
      </w:r>
      <w:r>
        <w:rPr>
          <w:rFonts w:hint="eastAsia"/>
          <w:color w:val="auto"/>
          <w:lang w:eastAsia="zh-CN"/>
        </w:rPr>
        <w:t>：</w:t>
      </w:r>
      <w:r>
        <w:rPr>
          <w:rFonts w:hint="eastAsia"/>
          <w:color w:val="auto"/>
          <w:lang w:val="en-US" w:eastAsia="zh-CN"/>
        </w:rPr>
        <w:t>1.</w:t>
      </w:r>
      <w:r>
        <w:rPr>
          <w:rFonts w:hint="eastAsia"/>
          <w:color w:val="auto"/>
        </w:rPr>
        <w:t>整理病房环境,定时通风。</w:t>
      </w:r>
      <w:r>
        <w:rPr>
          <w:rFonts w:hint="eastAsia"/>
          <w:color w:val="auto"/>
          <w:lang w:val="en-US" w:eastAsia="zh-CN"/>
        </w:rPr>
        <w:t>2.</w:t>
      </w:r>
      <w:r>
        <w:rPr>
          <w:rFonts w:hint="eastAsia"/>
          <w:color w:val="auto"/>
        </w:rPr>
        <w:t>协助整理床单位,按需更换床上用品。</w:t>
      </w:r>
      <w:r>
        <w:rPr>
          <w:rFonts w:hint="eastAsia"/>
          <w:color w:val="auto"/>
          <w:lang w:val="en-US" w:eastAsia="zh-CN"/>
        </w:rPr>
        <w:t>3.</w:t>
      </w:r>
      <w:r>
        <w:rPr>
          <w:rFonts w:hint="eastAsia"/>
          <w:color w:val="auto"/>
        </w:rPr>
        <w:t>协助晨晚间护理,包括梳头,清洁面部、口腔、会阴部和手足部。</w:t>
      </w:r>
      <w:r>
        <w:rPr>
          <w:rFonts w:hint="eastAsia"/>
          <w:color w:val="auto"/>
          <w:lang w:val="en-US" w:eastAsia="zh-CN"/>
        </w:rPr>
        <w:t>4.</w:t>
      </w:r>
      <w:r>
        <w:rPr>
          <w:rFonts w:hint="eastAsia"/>
          <w:color w:val="auto"/>
        </w:rPr>
        <w:t>协助洗头、沐浴或擦浴。</w:t>
      </w:r>
      <w:r>
        <w:rPr>
          <w:rFonts w:hint="eastAsia"/>
          <w:color w:val="auto"/>
          <w:lang w:val="en-US" w:eastAsia="zh-CN"/>
        </w:rPr>
        <w:t>5.</w:t>
      </w:r>
      <w:r>
        <w:rPr>
          <w:rFonts w:hint="eastAsia"/>
          <w:color w:val="auto"/>
        </w:rPr>
        <w:t>协助更换衣物。</w:t>
      </w:r>
      <w:r>
        <w:rPr>
          <w:rFonts w:hint="eastAsia"/>
          <w:color w:val="auto"/>
          <w:lang w:val="en-US" w:eastAsia="zh-CN"/>
        </w:rPr>
        <w:t>6.</w:t>
      </w:r>
      <w:r>
        <w:rPr>
          <w:rFonts w:hint="eastAsia"/>
          <w:color w:val="auto"/>
        </w:rPr>
        <w:t>协助清洁活动义齿,修剪指(趾)甲。</w:t>
      </w:r>
      <w:r>
        <w:rPr>
          <w:rFonts w:hint="eastAsia"/>
          <w:color w:val="auto"/>
          <w:lang w:val="en-US" w:eastAsia="zh-CN"/>
        </w:rPr>
        <w:t>7.</w:t>
      </w:r>
      <w:r>
        <w:rPr>
          <w:rFonts w:hint="eastAsia"/>
          <w:color w:val="auto"/>
        </w:rPr>
        <w:t>注意事项</w:t>
      </w:r>
      <w:r>
        <w:rPr>
          <w:rFonts w:hint="eastAsia"/>
          <w:color w:val="auto"/>
          <w:lang w:eastAsia="zh-CN"/>
        </w:rPr>
        <w:t>：</w:t>
      </w:r>
      <w:r>
        <w:rPr>
          <w:rFonts w:hint="eastAsia"/>
          <w:color w:val="auto"/>
          <w:lang w:val="en-US" w:eastAsia="zh-CN"/>
        </w:rPr>
        <w:t>①</w:t>
      </w:r>
      <w:r>
        <w:rPr>
          <w:rFonts w:hint="eastAsia"/>
          <w:color w:val="auto"/>
        </w:rPr>
        <w:t>观察患者反应,出现异常情况及时报告医务人员。</w:t>
      </w:r>
      <w:r>
        <w:rPr>
          <w:rFonts w:hint="eastAsia"/>
          <w:color w:val="auto"/>
          <w:lang w:val="en-US" w:eastAsia="zh-CN"/>
        </w:rPr>
        <w:t>②</w:t>
      </w:r>
      <w:r>
        <w:rPr>
          <w:rFonts w:hint="eastAsia"/>
          <w:color w:val="auto"/>
        </w:rPr>
        <w:t>动作轻柔,保护患者隐私与安全,注意保暖。</w:t>
      </w:r>
    </w:p>
    <w:p w14:paraId="20DA662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饮食照护服务内容</w:t>
      </w:r>
      <w:r>
        <w:rPr>
          <w:rFonts w:hint="eastAsia"/>
          <w:color w:val="auto"/>
          <w:lang w:eastAsia="zh-CN"/>
        </w:rPr>
        <w:t>：</w:t>
      </w:r>
      <w:r>
        <w:rPr>
          <w:rFonts w:hint="eastAsia"/>
          <w:color w:val="auto"/>
        </w:rPr>
        <w:t>1.协助餐前洗手、准备就餐环境。2.协助准备进食所需用品。3.协助摆放适当进食(水)体位。4.协助进食(水)。5.协助餐后清洁及整理。</w:t>
      </w:r>
      <w:r>
        <w:rPr>
          <w:rFonts w:hint="eastAsia"/>
          <w:color w:val="auto"/>
          <w:lang w:val="en-US" w:eastAsia="zh-CN"/>
        </w:rPr>
        <w:t>6.</w:t>
      </w:r>
      <w:r>
        <w:rPr>
          <w:rFonts w:hint="eastAsia"/>
          <w:color w:val="auto"/>
        </w:rPr>
        <w:t>注意事项</w:t>
      </w:r>
      <w:r>
        <w:rPr>
          <w:rFonts w:hint="eastAsia"/>
          <w:color w:val="auto"/>
          <w:lang w:eastAsia="zh-CN"/>
        </w:rPr>
        <w:t>：</w:t>
      </w:r>
      <w:r>
        <w:rPr>
          <w:rFonts w:hint="eastAsia"/>
          <w:color w:val="auto"/>
          <w:lang w:val="en-US" w:eastAsia="zh-CN"/>
        </w:rPr>
        <w:t>①</w:t>
      </w:r>
      <w:r>
        <w:rPr>
          <w:rFonts w:hint="eastAsia"/>
          <w:color w:val="auto"/>
        </w:rPr>
        <w:t>协助患者进食(水)前,与医务人员确认患者饮食有无禁忌。</w:t>
      </w:r>
      <w:r>
        <w:rPr>
          <w:rFonts w:hint="eastAsia"/>
          <w:color w:val="auto"/>
          <w:lang w:val="en-US" w:eastAsia="zh-CN"/>
        </w:rPr>
        <w:t>②</w:t>
      </w:r>
      <w:r>
        <w:rPr>
          <w:rFonts w:hint="eastAsia"/>
          <w:color w:val="auto"/>
        </w:rPr>
        <w:t>注意食物(水)的温度、进食(水)的速度和量。</w:t>
      </w:r>
      <w:r>
        <w:rPr>
          <w:rFonts w:hint="eastAsia"/>
          <w:color w:val="auto"/>
          <w:lang w:val="en-US" w:eastAsia="zh-CN"/>
        </w:rPr>
        <w:t>③</w:t>
      </w:r>
      <w:r>
        <w:rPr>
          <w:rFonts w:hint="eastAsia"/>
          <w:color w:val="auto"/>
        </w:rPr>
        <w:t>患者出现吞咽困难、呛咳、恶心、呕吐等情况,及时报告医务人员。</w:t>
      </w:r>
    </w:p>
    <w:p w14:paraId="35E122F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睡眠照护服务内容</w:t>
      </w:r>
      <w:r>
        <w:rPr>
          <w:rFonts w:hint="eastAsia"/>
          <w:color w:val="auto"/>
          <w:lang w:eastAsia="zh-CN"/>
        </w:rPr>
        <w:t>：</w:t>
      </w:r>
      <w:r>
        <w:rPr>
          <w:rFonts w:hint="eastAsia"/>
          <w:color w:val="auto"/>
        </w:rPr>
        <w:t>1.协助做好睡前准备,拉好床档。2.协助调整适当的睡眠体位。3.协助盖好被服,观察患者入睡情况。</w:t>
      </w:r>
      <w:r>
        <w:rPr>
          <w:rFonts w:hint="eastAsia"/>
          <w:color w:val="auto"/>
          <w:lang w:val="en-US" w:eastAsia="zh-CN"/>
        </w:rPr>
        <w:t>4.</w:t>
      </w:r>
      <w:r>
        <w:rPr>
          <w:rFonts w:hint="eastAsia"/>
          <w:color w:val="auto"/>
        </w:rPr>
        <w:t>注意事项</w:t>
      </w:r>
      <w:r>
        <w:rPr>
          <w:rFonts w:hint="eastAsia"/>
          <w:color w:val="auto"/>
          <w:lang w:eastAsia="zh-CN"/>
        </w:rPr>
        <w:t>：</w:t>
      </w:r>
      <w:r>
        <w:rPr>
          <w:rFonts w:hint="eastAsia"/>
          <w:color w:val="auto"/>
          <w:lang w:val="en-US" w:eastAsia="zh-CN"/>
        </w:rPr>
        <w:t>①</w:t>
      </w:r>
      <w:r>
        <w:rPr>
          <w:rFonts w:hint="eastAsia"/>
          <w:color w:val="auto"/>
        </w:rPr>
        <w:t>注意观察患者的骨折部位、伤口、皮肤破溃处是否受压,以及患者的各种管路是否打折、受压等。</w:t>
      </w:r>
      <w:r>
        <w:rPr>
          <w:rFonts w:hint="eastAsia"/>
          <w:color w:val="auto"/>
          <w:lang w:val="en-US" w:eastAsia="zh-CN"/>
        </w:rPr>
        <w:t>②</w:t>
      </w:r>
      <w:r>
        <w:rPr>
          <w:rFonts w:hint="eastAsia"/>
          <w:color w:val="auto"/>
        </w:rPr>
        <w:t>注意观察患者睡眠过程中是否出现呼吸不畅、失眠等情况,如有及时报告医务人员。</w:t>
      </w:r>
    </w:p>
    <w:p w14:paraId="5C9777B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排泄照护服务内容</w:t>
      </w:r>
      <w:r>
        <w:rPr>
          <w:rFonts w:hint="eastAsia"/>
          <w:color w:val="auto"/>
          <w:lang w:eastAsia="zh-CN"/>
        </w:rPr>
        <w:t>：</w:t>
      </w:r>
      <w:r>
        <w:rPr>
          <w:rFonts w:hint="eastAsia"/>
          <w:color w:val="auto"/>
        </w:rPr>
        <w:t>1.协助选择适当的如厕方式,并完成如厕。2.协助床上使用便盆或尿壶。3.协助便后清洁,按需更换医用保护垫等用品。4.必要时协助留取大小便标本。5.协助观察会阴、肛周等皮肤是否出现发红、破溃等情况。</w:t>
      </w:r>
      <w:r>
        <w:rPr>
          <w:rFonts w:hint="eastAsia"/>
          <w:color w:val="auto"/>
          <w:lang w:val="en-US" w:eastAsia="zh-CN"/>
        </w:rPr>
        <w:t>6.</w:t>
      </w:r>
      <w:r>
        <w:rPr>
          <w:rFonts w:hint="eastAsia"/>
          <w:color w:val="auto"/>
        </w:rPr>
        <w:t>注意事项</w:t>
      </w:r>
      <w:r>
        <w:rPr>
          <w:rFonts w:hint="eastAsia"/>
          <w:color w:val="auto"/>
          <w:lang w:eastAsia="zh-CN"/>
        </w:rPr>
        <w:t>：</w:t>
      </w:r>
      <w:r>
        <w:rPr>
          <w:rFonts w:hint="eastAsia"/>
          <w:color w:val="auto"/>
          <w:lang w:val="en-US" w:eastAsia="zh-CN"/>
        </w:rPr>
        <w:t>①</w:t>
      </w:r>
      <w:r>
        <w:rPr>
          <w:rFonts w:hint="eastAsia"/>
          <w:color w:val="auto"/>
        </w:rPr>
        <w:t>注意患者排泄习惯,帮助其适应住院期间的排泄方式。</w:t>
      </w:r>
      <w:r>
        <w:rPr>
          <w:rFonts w:hint="eastAsia"/>
          <w:color w:val="auto"/>
          <w:lang w:val="en-US" w:eastAsia="zh-CN"/>
        </w:rPr>
        <w:t>②</w:t>
      </w:r>
      <w:r>
        <w:rPr>
          <w:rFonts w:hint="eastAsia"/>
          <w:color w:val="auto"/>
        </w:rPr>
        <w:t>如厕过程中保护患者隐私,关注其平衡能力及稳定性,注意安全。</w:t>
      </w:r>
      <w:r>
        <w:rPr>
          <w:rFonts w:hint="eastAsia"/>
          <w:color w:val="auto"/>
          <w:lang w:val="en-US" w:eastAsia="zh-CN"/>
        </w:rPr>
        <w:t>③</w:t>
      </w:r>
      <w:r>
        <w:rPr>
          <w:rFonts w:hint="eastAsia"/>
          <w:color w:val="auto"/>
        </w:rPr>
        <w:t>如厕过程中患者如有不适或出现跌倒、管路滑脱等情况,及时报告医务人员。</w:t>
      </w:r>
    </w:p>
    <w:p w14:paraId="57235B2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rPr>
      </w:pPr>
      <w:r>
        <w:rPr>
          <w:rFonts w:hint="eastAsia"/>
          <w:color w:val="auto"/>
        </w:rPr>
        <w:t>移动照护服务内容</w:t>
      </w:r>
      <w:r>
        <w:rPr>
          <w:rFonts w:hint="eastAsia"/>
          <w:color w:val="auto"/>
          <w:lang w:eastAsia="zh-CN"/>
        </w:rPr>
        <w:t>：</w:t>
      </w:r>
      <w:r>
        <w:rPr>
          <w:rFonts w:hint="eastAsia"/>
          <w:color w:val="auto"/>
        </w:rPr>
        <w:t>1.协助采取合适体位并定时变换。2.协助床上移动。3.协助肢体主动或被动活动。4.协助使用平车、轮椅等工具移动患者。5.协助上下床活动。</w:t>
      </w:r>
      <w:r>
        <w:rPr>
          <w:rFonts w:hint="eastAsia"/>
          <w:color w:val="auto"/>
          <w:lang w:val="en-US" w:eastAsia="zh-CN"/>
        </w:rPr>
        <w:t>6.</w:t>
      </w:r>
      <w:r>
        <w:rPr>
          <w:rFonts w:hint="eastAsia"/>
          <w:color w:val="auto"/>
        </w:rPr>
        <w:t>注意事项</w:t>
      </w:r>
      <w:r>
        <w:rPr>
          <w:rFonts w:hint="eastAsia"/>
          <w:color w:val="auto"/>
          <w:lang w:eastAsia="zh-CN"/>
        </w:rPr>
        <w:t>：</w:t>
      </w:r>
      <w:r>
        <w:rPr>
          <w:rFonts w:hint="eastAsia"/>
          <w:color w:val="auto"/>
          <w:lang w:val="en-US" w:eastAsia="zh-CN"/>
        </w:rPr>
        <w:t>①</w:t>
      </w:r>
      <w:r>
        <w:rPr>
          <w:rFonts w:hint="eastAsia"/>
          <w:color w:val="auto"/>
        </w:rPr>
        <w:t>注意节力、安全原则。</w:t>
      </w:r>
      <w:r>
        <w:rPr>
          <w:rFonts w:hint="eastAsia"/>
          <w:color w:val="auto"/>
          <w:lang w:val="en-US" w:eastAsia="zh-CN"/>
        </w:rPr>
        <w:t>②</w:t>
      </w:r>
      <w:r>
        <w:rPr>
          <w:rFonts w:hint="eastAsia"/>
          <w:color w:val="auto"/>
        </w:rPr>
        <w:t>注意在患者移动时保护各种管路,发现管路打折、牵拉、脱出等情况,及时报告医务人员。</w:t>
      </w:r>
      <w:r>
        <w:rPr>
          <w:rFonts w:hint="eastAsia"/>
          <w:color w:val="auto"/>
          <w:lang w:val="en-US" w:eastAsia="zh-CN"/>
        </w:rPr>
        <w:t>③</w:t>
      </w:r>
      <w:r>
        <w:rPr>
          <w:rFonts w:hint="eastAsia"/>
          <w:color w:val="auto"/>
        </w:rPr>
        <w:t>变换体位时,保护局部皮肤,发现伤口或受压部位出现异常情况,及时报告医务人员。</w:t>
      </w:r>
      <w:r>
        <w:rPr>
          <w:rFonts w:hint="eastAsia"/>
          <w:color w:val="auto"/>
          <w:lang w:val="en-US" w:eastAsia="zh-CN"/>
        </w:rPr>
        <w:t>④</w:t>
      </w:r>
      <w:r>
        <w:rPr>
          <w:rFonts w:hint="eastAsia"/>
          <w:color w:val="auto"/>
        </w:rPr>
        <w:t>在患者移动过程中,注意避免发生跌倒或坠床等。</w:t>
      </w:r>
    </w:p>
    <w:p w14:paraId="026BD60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color w:val="auto"/>
          <w:lang w:val="en-GB"/>
        </w:rPr>
      </w:pPr>
      <w:r>
        <w:rPr>
          <w:rFonts w:hint="eastAsia"/>
          <w:color w:val="auto"/>
          <w:lang w:val="en-GB"/>
        </w:rPr>
        <w:t>服务要求</w:t>
      </w:r>
    </w:p>
    <w:p w14:paraId="7DFED0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color w:val="auto"/>
          <w:lang w:val="en-US" w:eastAsia="zh-CN"/>
        </w:rPr>
        <w:t>1.</w:t>
      </w:r>
      <w:r>
        <w:rPr>
          <w:rFonts w:hint="eastAsia"/>
          <w:color w:val="auto"/>
          <w:lang w:val="en-GB"/>
        </w:rPr>
        <w:t>供应商需在医院派驻管理人员，负责对陪护人员的日常考核、管理、培训及处理突发事件。陪护人员上岗前，管理人员需将陪护人员的身份证、健康证及培训上岗证明资料递交</w:t>
      </w:r>
      <w:r>
        <w:rPr>
          <w:rFonts w:hint="eastAsia"/>
          <w:lang w:val="en-GB"/>
        </w:rPr>
        <w:t>至医院进行备案；</w:t>
      </w:r>
    </w:p>
    <w:p w14:paraId="33A36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2.</w:t>
      </w:r>
      <w:r>
        <w:rPr>
          <w:rFonts w:hint="eastAsia"/>
          <w:lang w:val="en-GB"/>
        </w:rPr>
        <w:t>陪护人员不得擅自离岗，如发生离岗引起的各类投诉或不良事件，供应商应承担全部责任。因陪护病人引起的纠纷，由供应商负责处理并承担全部责任；</w:t>
      </w:r>
    </w:p>
    <w:p w14:paraId="1EE62B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3.</w:t>
      </w:r>
      <w:r>
        <w:rPr>
          <w:rFonts w:hint="eastAsia"/>
          <w:lang w:val="en-GB"/>
        </w:rPr>
        <w:t>做好个人卫生工作，完成一个病人的陪护服务后，及时洗手，防止交叉感染；</w:t>
      </w:r>
    </w:p>
    <w:p w14:paraId="7F29E2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4.</w:t>
      </w:r>
      <w:r>
        <w:rPr>
          <w:rFonts w:hint="eastAsia"/>
          <w:lang w:val="en-GB"/>
        </w:rPr>
        <w:t>做好病人的卫生、床位整洁和生活照料等工作；礼貌周到的服务病人，不随意漫骂病人及病人家属；</w:t>
      </w:r>
    </w:p>
    <w:p w14:paraId="04E17D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5.</w:t>
      </w:r>
      <w:r>
        <w:rPr>
          <w:rFonts w:hint="eastAsia"/>
          <w:lang w:val="en-GB"/>
        </w:rPr>
        <w:t>注意保持医院的安静环境，不在楼层内大声喧哗；工作时间内，不擅自离开工作岗位或与其他无关人员闲谈；</w:t>
      </w:r>
    </w:p>
    <w:p w14:paraId="599FCB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6.</w:t>
      </w:r>
      <w:r>
        <w:rPr>
          <w:rFonts w:hint="eastAsia"/>
          <w:lang w:val="en-GB"/>
        </w:rPr>
        <w:t>在工作时间内不随意串岗，不做与工作无关的事情，如：看报、看杂志、打毛线、听音乐、打私人电话、介绍其他服务等；</w:t>
      </w:r>
    </w:p>
    <w:p w14:paraId="624A77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7.</w:t>
      </w:r>
      <w:r>
        <w:rPr>
          <w:rFonts w:hint="eastAsia"/>
          <w:lang w:val="en-GB"/>
        </w:rPr>
        <w:t>不向病人或病人家属索取小费、食物及其他物品。不用病人的杯子、器皿等其他物品做为自己私用；</w:t>
      </w:r>
    </w:p>
    <w:p w14:paraId="5DE576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8.</w:t>
      </w:r>
      <w:r>
        <w:rPr>
          <w:rFonts w:hint="eastAsia"/>
          <w:lang w:val="en-GB"/>
        </w:rPr>
        <w:t>严格按照陪护服务内容和工作操作程序为病人做好生活料理，不从事护士的工作；</w:t>
      </w:r>
    </w:p>
    <w:p w14:paraId="470DAF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lang w:val="en-GB"/>
        </w:rPr>
      </w:pPr>
      <w:r>
        <w:rPr>
          <w:rFonts w:hint="eastAsia"/>
          <w:lang w:val="en-US" w:eastAsia="zh-CN"/>
        </w:rPr>
        <w:t>9.</w:t>
      </w:r>
      <w:r>
        <w:rPr>
          <w:rFonts w:hint="eastAsia"/>
          <w:lang w:val="en-GB"/>
        </w:rPr>
        <w:t>供应商应根据分级照护标准制定服务方案，方案中含不同服务人群的服务项目、服务内容及收费标准（患者的单天（24小时）收费标准，服务时长不足24小时的，按实际服务时长/24小时计算当天费用）。结算方式应明确公示，费用应合理透明，不得存在乱收费现象。</w:t>
      </w:r>
    </w:p>
    <w:p w14:paraId="5BFD7165">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440" w:firstLineChars="200"/>
        <w:textAlignment w:val="auto"/>
        <w:rPr>
          <w:rFonts w:hint="eastAsia"/>
          <w:sz w:val="22"/>
          <w:szCs w:val="18"/>
          <w:lang w:val="en-GB"/>
        </w:rPr>
      </w:pPr>
      <w:r>
        <w:rPr>
          <w:rFonts w:hint="eastAsia"/>
          <w:sz w:val="22"/>
          <w:szCs w:val="18"/>
        </w:rPr>
        <w:t>三</w:t>
      </w:r>
      <w:r>
        <w:rPr>
          <w:rFonts w:hint="eastAsia"/>
          <w:sz w:val="22"/>
          <w:szCs w:val="18"/>
          <w:lang w:val="zh-CN"/>
        </w:rPr>
        <w:t>、商务要求</w:t>
      </w:r>
    </w:p>
    <w:p w14:paraId="24F40D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rPr>
        <w:t>1.服务地点：采购人指定地点</w:t>
      </w:r>
    </w:p>
    <w:p w14:paraId="41A592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rPr>
        <w:t>2.服务期限：服务期</w:t>
      </w:r>
      <w:r>
        <w:rPr>
          <w:rFonts w:hint="eastAsia"/>
          <w:lang w:val="en-US" w:eastAsia="zh-CN"/>
        </w:rPr>
        <w:t>一</w:t>
      </w:r>
      <w:r>
        <w:rPr>
          <w:rFonts w:hint="eastAsia"/>
        </w:rPr>
        <w:t>年。由后勤保障部和护理部共同进行考核。</w:t>
      </w:r>
    </w:p>
    <w:p w14:paraId="0C7E64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rPr>
        <w:t>3.考核标准：采购人每月对患者及医护人员进行陪护服务满意度调查（详见附件1：住院患者对陪护工作满意度调查表、附件2：医护人员对陪护满意度调查表），如满意度调查连续三个月低于80%，合同不再续签；采购人定期对陪护服务工作质量进行考核（附件3），按照落实率＜60%者则病区陪护人员不被允许次月继续在原病区开展陪护工作，连续两月落实率＜60%者不被允许在我院开展陪护工作。</w:t>
      </w:r>
    </w:p>
    <w:p w14:paraId="67ED59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lang w:val="en-GB"/>
        </w:rPr>
      </w:pPr>
      <w:r>
        <w:rPr>
          <w:rFonts w:hint="eastAsia"/>
          <w:lang w:val="en-US" w:eastAsia="zh-CN"/>
        </w:rPr>
        <w:t>4.</w:t>
      </w:r>
      <w:r>
        <w:rPr>
          <w:rFonts w:hint="eastAsia"/>
        </w:rPr>
        <w:t>供应商须保证在医院服务的管理人员及陪护人员数量</w:t>
      </w:r>
      <w:r>
        <w:rPr>
          <w:rFonts w:hint="eastAsia"/>
          <w:lang w:val="en-US" w:eastAsia="zh-CN"/>
        </w:rPr>
        <w:t>≥15人</w:t>
      </w:r>
      <w:r>
        <w:rPr>
          <w:rFonts w:hint="eastAsia"/>
          <w:lang w:eastAsia="zh-CN"/>
        </w:rPr>
        <w:t>（</w:t>
      </w:r>
      <w:r>
        <w:rPr>
          <w:rFonts w:hint="eastAsia"/>
          <w:lang w:val="en-US" w:eastAsia="zh-CN"/>
        </w:rPr>
        <w:t>提供人员清单并附上相关证书</w:t>
      </w:r>
      <w:r>
        <w:rPr>
          <w:rFonts w:hint="eastAsia"/>
          <w:lang w:eastAsia="zh-CN"/>
        </w:rPr>
        <w:t>）</w:t>
      </w:r>
      <w:r>
        <w:rPr>
          <w:rFonts w:hint="eastAsia"/>
        </w:rPr>
        <w:t>，有应急保障预案</w:t>
      </w:r>
      <w:r>
        <w:rPr>
          <w:rFonts w:hint="eastAsia"/>
          <w:bCs/>
        </w:rPr>
        <w:t>(包含但不限于：应急预案、紧急突发事件的处理措施、紧急资源调配能力)</w:t>
      </w:r>
      <w:r>
        <w:rPr>
          <w:rFonts w:hint="eastAsia"/>
          <w:bCs/>
          <w:lang w:val="en-GB"/>
        </w:rPr>
        <w:t>。</w:t>
      </w:r>
    </w:p>
    <w:p w14:paraId="177EF0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5.</w:t>
      </w:r>
      <w:r>
        <w:rPr>
          <w:rFonts w:hint="eastAsia"/>
        </w:rPr>
        <w:t>可根据项目实际情况提供增值服务。</w:t>
      </w:r>
    </w:p>
    <w:p w14:paraId="52DB2AE8">
      <w:pPr>
        <w:spacing w:line="240" w:lineRule="auto"/>
        <w:rPr>
          <w:rFonts w:hint="eastAsia"/>
        </w:rPr>
      </w:pPr>
    </w:p>
    <w:p w14:paraId="2B3B0CCC">
      <w:bookmarkStart w:id="0" w:name="_GoBack"/>
      <w:bookmarkEnd w:id="0"/>
    </w:p>
    <w:p w14:paraId="2EBFFB03">
      <w:pPr>
        <w:rPr>
          <w:rFonts w:hint="eastAsia" w:eastAsia="宋体" w:cs="宋体"/>
          <w:b/>
          <w:bCs/>
          <w:sz w:val="28"/>
          <w:szCs w:val="28"/>
        </w:rPr>
      </w:pPr>
      <w:r>
        <w:rPr>
          <w:rFonts w:hint="eastAsia" w:eastAsia="宋体" w:cs="宋体"/>
          <w:b/>
          <w:bCs/>
          <w:sz w:val="28"/>
          <w:szCs w:val="28"/>
        </w:rPr>
        <w:t>附件1</w:t>
      </w:r>
    </w:p>
    <w:p w14:paraId="160D6EBF">
      <w:r>
        <w:rPr>
          <w:rFonts w:hint="eastAsia"/>
        </w:rPr>
        <w:t>患者对陪护工作满意度调查表</w:t>
      </w:r>
    </w:p>
    <w:tbl>
      <w:tblPr>
        <w:tblStyle w:val="6"/>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0"/>
        <w:gridCol w:w="1275"/>
        <w:gridCol w:w="1276"/>
      </w:tblGrid>
      <w:tr w14:paraId="445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90" w:type="dxa"/>
          </w:tcPr>
          <w:p w14:paraId="1C5E41E6">
            <w:r>
              <w:rPr>
                <w:rFonts w:hint="eastAsia"/>
              </w:rPr>
              <w:t>项目</w:t>
            </w:r>
          </w:p>
        </w:tc>
        <w:tc>
          <w:tcPr>
            <w:tcW w:w="1275" w:type="dxa"/>
          </w:tcPr>
          <w:p w14:paraId="6712C3FB">
            <w:r>
              <w:rPr>
                <w:rFonts w:hint="eastAsia"/>
              </w:rPr>
              <w:t>分值</w:t>
            </w:r>
          </w:p>
        </w:tc>
        <w:tc>
          <w:tcPr>
            <w:tcW w:w="1276" w:type="dxa"/>
          </w:tcPr>
          <w:p w14:paraId="55F57390">
            <w:r>
              <w:rPr>
                <w:rFonts w:hint="eastAsia"/>
              </w:rPr>
              <w:t>得分</w:t>
            </w:r>
          </w:p>
        </w:tc>
      </w:tr>
      <w:tr w14:paraId="54F6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125078CF">
            <w:pPr>
              <w:pStyle w:val="10"/>
              <w:numPr>
                <w:ilvl w:val="0"/>
                <w:numId w:val="3"/>
              </w:numPr>
              <w:contextualSpacing w:val="0"/>
            </w:pPr>
            <w:r>
              <w:rPr>
                <w:rFonts w:hint="eastAsia"/>
              </w:rPr>
              <w:t>陪护人员仪表仪容是否规范</w:t>
            </w:r>
          </w:p>
        </w:tc>
        <w:tc>
          <w:tcPr>
            <w:tcW w:w="1275" w:type="dxa"/>
          </w:tcPr>
          <w:p w14:paraId="3437674E">
            <w:r>
              <w:rPr>
                <w:rFonts w:hint="eastAsia"/>
              </w:rPr>
              <w:t>5</w:t>
            </w:r>
          </w:p>
        </w:tc>
        <w:tc>
          <w:tcPr>
            <w:tcW w:w="1276" w:type="dxa"/>
          </w:tcPr>
          <w:p w14:paraId="4C82E776"/>
        </w:tc>
      </w:tr>
      <w:tr w14:paraId="2F22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10E69438">
            <w:pPr>
              <w:pStyle w:val="10"/>
              <w:numPr>
                <w:ilvl w:val="0"/>
                <w:numId w:val="3"/>
              </w:numPr>
              <w:contextualSpacing w:val="0"/>
            </w:pPr>
            <w:r>
              <w:rPr>
                <w:rFonts w:hint="eastAsia"/>
              </w:rPr>
              <w:t>陪护人员的态度是否友善、微笑服务</w:t>
            </w:r>
          </w:p>
        </w:tc>
        <w:tc>
          <w:tcPr>
            <w:tcW w:w="1275" w:type="dxa"/>
          </w:tcPr>
          <w:p w14:paraId="78D0D85F">
            <w:r>
              <w:rPr>
                <w:rFonts w:hint="eastAsia"/>
              </w:rPr>
              <w:t>10</w:t>
            </w:r>
          </w:p>
        </w:tc>
        <w:tc>
          <w:tcPr>
            <w:tcW w:w="1276" w:type="dxa"/>
          </w:tcPr>
          <w:p w14:paraId="7F099EE8"/>
        </w:tc>
      </w:tr>
      <w:tr w14:paraId="1C7E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4C5D2D73">
            <w:pPr>
              <w:pStyle w:val="10"/>
              <w:numPr>
                <w:ilvl w:val="0"/>
                <w:numId w:val="3"/>
              </w:numPr>
              <w:contextualSpacing w:val="0"/>
            </w:pPr>
            <w:r>
              <w:rPr>
                <w:rFonts w:hint="eastAsia"/>
              </w:rPr>
              <w:t>陪护人员工作是否主动</w:t>
            </w:r>
          </w:p>
        </w:tc>
        <w:tc>
          <w:tcPr>
            <w:tcW w:w="1275" w:type="dxa"/>
          </w:tcPr>
          <w:p w14:paraId="2DA5700B">
            <w:r>
              <w:rPr>
                <w:rFonts w:hint="eastAsia"/>
              </w:rPr>
              <w:t>10</w:t>
            </w:r>
          </w:p>
        </w:tc>
        <w:tc>
          <w:tcPr>
            <w:tcW w:w="1276" w:type="dxa"/>
          </w:tcPr>
          <w:p w14:paraId="3EC8129D"/>
        </w:tc>
      </w:tr>
      <w:tr w14:paraId="0D7B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4BB7C88A">
            <w:pPr>
              <w:pStyle w:val="10"/>
              <w:numPr>
                <w:ilvl w:val="0"/>
                <w:numId w:val="3"/>
              </w:numPr>
              <w:contextualSpacing w:val="0"/>
            </w:pPr>
            <w:r>
              <w:rPr>
                <w:rFonts w:hint="eastAsia"/>
              </w:rPr>
              <w:t>陪护人员是否讲卫生</w:t>
            </w:r>
          </w:p>
        </w:tc>
        <w:tc>
          <w:tcPr>
            <w:tcW w:w="1275" w:type="dxa"/>
          </w:tcPr>
          <w:p w14:paraId="64952BB3">
            <w:r>
              <w:rPr>
                <w:rFonts w:hint="eastAsia"/>
              </w:rPr>
              <w:t>10</w:t>
            </w:r>
          </w:p>
        </w:tc>
        <w:tc>
          <w:tcPr>
            <w:tcW w:w="1276" w:type="dxa"/>
          </w:tcPr>
          <w:p w14:paraId="49BA5C80"/>
        </w:tc>
      </w:tr>
      <w:tr w14:paraId="261D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54CED7E8">
            <w:pPr>
              <w:pStyle w:val="10"/>
              <w:numPr>
                <w:ilvl w:val="0"/>
                <w:numId w:val="3"/>
              </w:numPr>
              <w:contextualSpacing w:val="0"/>
            </w:pPr>
            <w:r>
              <w:rPr>
                <w:rFonts w:hint="eastAsia"/>
              </w:rPr>
              <w:t>陪护人员是否不嫌脏、不嫌累</w:t>
            </w:r>
          </w:p>
        </w:tc>
        <w:tc>
          <w:tcPr>
            <w:tcW w:w="1275" w:type="dxa"/>
          </w:tcPr>
          <w:p w14:paraId="1E3DB3F4">
            <w:r>
              <w:rPr>
                <w:rFonts w:hint="eastAsia"/>
              </w:rPr>
              <w:t>10</w:t>
            </w:r>
          </w:p>
        </w:tc>
        <w:tc>
          <w:tcPr>
            <w:tcW w:w="1276" w:type="dxa"/>
          </w:tcPr>
          <w:p w14:paraId="402D54DB"/>
        </w:tc>
      </w:tr>
      <w:tr w14:paraId="7AC6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4AFD7337">
            <w:pPr>
              <w:pStyle w:val="10"/>
              <w:numPr>
                <w:ilvl w:val="0"/>
                <w:numId w:val="3"/>
              </w:numPr>
              <w:contextualSpacing w:val="0"/>
            </w:pPr>
            <w:r>
              <w:rPr>
                <w:rFonts w:hint="eastAsia"/>
              </w:rPr>
              <w:t>陪护人员是否经常干私活（耍手机、看电视、打瞌睡、长时间离开、串病房等）</w:t>
            </w:r>
          </w:p>
        </w:tc>
        <w:tc>
          <w:tcPr>
            <w:tcW w:w="1275" w:type="dxa"/>
          </w:tcPr>
          <w:p w14:paraId="7839DD8B">
            <w:r>
              <w:rPr>
                <w:rFonts w:hint="eastAsia"/>
              </w:rPr>
              <w:t>10</w:t>
            </w:r>
          </w:p>
        </w:tc>
        <w:tc>
          <w:tcPr>
            <w:tcW w:w="1276" w:type="dxa"/>
          </w:tcPr>
          <w:p w14:paraId="5EF51228"/>
        </w:tc>
      </w:tr>
      <w:tr w14:paraId="63DE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2C6A3220">
            <w:pPr>
              <w:pStyle w:val="10"/>
              <w:numPr>
                <w:ilvl w:val="0"/>
                <w:numId w:val="3"/>
              </w:numPr>
              <w:contextualSpacing w:val="0"/>
            </w:pPr>
            <w:r>
              <w:rPr>
                <w:rFonts w:hint="eastAsia"/>
              </w:rPr>
              <w:t>陪护人员是否主动跟患者交流</w:t>
            </w:r>
          </w:p>
        </w:tc>
        <w:tc>
          <w:tcPr>
            <w:tcW w:w="1275" w:type="dxa"/>
          </w:tcPr>
          <w:p w14:paraId="0111D2C4">
            <w:r>
              <w:rPr>
                <w:rFonts w:hint="eastAsia"/>
              </w:rPr>
              <w:t>5</w:t>
            </w:r>
          </w:p>
        </w:tc>
        <w:tc>
          <w:tcPr>
            <w:tcW w:w="1276" w:type="dxa"/>
          </w:tcPr>
          <w:p w14:paraId="23CF5437"/>
        </w:tc>
      </w:tr>
      <w:tr w14:paraId="06A3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69CE1558">
            <w:pPr>
              <w:pStyle w:val="10"/>
              <w:numPr>
                <w:ilvl w:val="0"/>
                <w:numId w:val="3"/>
              </w:numPr>
              <w:contextualSpacing w:val="0"/>
            </w:pPr>
            <w:r>
              <w:rPr>
                <w:rFonts w:hint="eastAsia"/>
              </w:rPr>
              <w:t>陪护人员是否及时与家属沟通患者情况</w:t>
            </w:r>
          </w:p>
        </w:tc>
        <w:tc>
          <w:tcPr>
            <w:tcW w:w="1275" w:type="dxa"/>
          </w:tcPr>
          <w:p w14:paraId="2215D033">
            <w:r>
              <w:rPr>
                <w:rFonts w:hint="eastAsia"/>
              </w:rPr>
              <w:t>5</w:t>
            </w:r>
          </w:p>
        </w:tc>
        <w:tc>
          <w:tcPr>
            <w:tcW w:w="1276" w:type="dxa"/>
          </w:tcPr>
          <w:p w14:paraId="39E0F857"/>
        </w:tc>
      </w:tr>
      <w:tr w14:paraId="35B6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58689ED3">
            <w:pPr>
              <w:pStyle w:val="10"/>
              <w:numPr>
                <w:ilvl w:val="0"/>
                <w:numId w:val="3"/>
              </w:numPr>
              <w:contextualSpacing w:val="0"/>
            </w:pPr>
            <w:r>
              <w:rPr>
                <w:rFonts w:hint="eastAsia"/>
              </w:rPr>
              <w:t>对陪护公司收费是否满意</w:t>
            </w:r>
          </w:p>
        </w:tc>
        <w:tc>
          <w:tcPr>
            <w:tcW w:w="1275" w:type="dxa"/>
          </w:tcPr>
          <w:p w14:paraId="40A1D7D3">
            <w:r>
              <w:rPr>
                <w:rFonts w:hint="eastAsia"/>
              </w:rPr>
              <w:t>5</w:t>
            </w:r>
          </w:p>
        </w:tc>
        <w:tc>
          <w:tcPr>
            <w:tcW w:w="1276" w:type="dxa"/>
          </w:tcPr>
          <w:p w14:paraId="1BE184F5"/>
        </w:tc>
      </w:tr>
      <w:tr w14:paraId="35A7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337B2204">
            <w:pPr>
              <w:pStyle w:val="10"/>
              <w:numPr>
                <w:ilvl w:val="0"/>
                <w:numId w:val="3"/>
              </w:numPr>
              <w:contextualSpacing w:val="0"/>
            </w:pPr>
            <w:r>
              <w:rPr>
                <w:rFonts w:hint="eastAsia"/>
              </w:rPr>
              <w:t>陪护人员是否额外收取费用或物品</w:t>
            </w:r>
          </w:p>
        </w:tc>
        <w:tc>
          <w:tcPr>
            <w:tcW w:w="1275" w:type="dxa"/>
          </w:tcPr>
          <w:p w14:paraId="15D4C5BA">
            <w:r>
              <w:rPr>
                <w:rFonts w:hint="eastAsia"/>
              </w:rPr>
              <w:t>5</w:t>
            </w:r>
          </w:p>
        </w:tc>
        <w:tc>
          <w:tcPr>
            <w:tcW w:w="1276" w:type="dxa"/>
          </w:tcPr>
          <w:p w14:paraId="1EB234FB"/>
        </w:tc>
      </w:tr>
      <w:tr w14:paraId="1134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6F6D3195">
            <w:pPr>
              <w:pStyle w:val="10"/>
              <w:numPr>
                <w:ilvl w:val="0"/>
                <w:numId w:val="3"/>
              </w:numPr>
              <w:contextualSpacing w:val="0"/>
            </w:pPr>
            <w:r>
              <w:rPr>
                <w:rFonts w:hint="eastAsia"/>
              </w:rPr>
              <w:t>陪护公司主管是否经常指导督促陪护工作</w:t>
            </w:r>
          </w:p>
        </w:tc>
        <w:tc>
          <w:tcPr>
            <w:tcW w:w="1275" w:type="dxa"/>
          </w:tcPr>
          <w:p w14:paraId="4B141DA9">
            <w:r>
              <w:rPr>
                <w:rFonts w:hint="eastAsia"/>
              </w:rPr>
              <w:t>10</w:t>
            </w:r>
          </w:p>
        </w:tc>
        <w:tc>
          <w:tcPr>
            <w:tcW w:w="1276" w:type="dxa"/>
          </w:tcPr>
          <w:p w14:paraId="5DC2B209"/>
        </w:tc>
      </w:tr>
      <w:tr w14:paraId="6ADC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379CC41B">
            <w:pPr>
              <w:pStyle w:val="10"/>
              <w:numPr>
                <w:ilvl w:val="0"/>
                <w:numId w:val="3"/>
              </w:numPr>
              <w:contextualSpacing w:val="0"/>
            </w:pPr>
            <w:r>
              <w:rPr>
                <w:rFonts w:hint="eastAsia"/>
              </w:rPr>
              <w:t>陪护工作是否专业到位</w:t>
            </w:r>
          </w:p>
        </w:tc>
        <w:tc>
          <w:tcPr>
            <w:tcW w:w="1275" w:type="dxa"/>
          </w:tcPr>
          <w:p w14:paraId="141C1F6C">
            <w:r>
              <w:rPr>
                <w:rFonts w:hint="eastAsia"/>
              </w:rPr>
              <w:t>5</w:t>
            </w:r>
          </w:p>
        </w:tc>
        <w:tc>
          <w:tcPr>
            <w:tcW w:w="1276" w:type="dxa"/>
          </w:tcPr>
          <w:p w14:paraId="15EE1D05"/>
        </w:tc>
      </w:tr>
      <w:tr w14:paraId="062A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18898B75">
            <w:pPr>
              <w:pStyle w:val="10"/>
              <w:numPr>
                <w:ilvl w:val="0"/>
                <w:numId w:val="3"/>
              </w:numPr>
              <w:contextualSpacing w:val="0"/>
            </w:pPr>
            <w:r>
              <w:rPr>
                <w:rFonts w:hint="eastAsia"/>
              </w:rPr>
              <w:t>对陪护工作的总体满意度</w:t>
            </w:r>
          </w:p>
        </w:tc>
        <w:tc>
          <w:tcPr>
            <w:tcW w:w="1275" w:type="dxa"/>
          </w:tcPr>
          <w:p w14:paraId="6FB7D0B5">
            <w:r>
              <w:rPr>
                <w:rFonts w:hint="eastAsia"/>
              </w:rPr>
              <w:t>10</w:t>
            </w:r>
          </w:p>
        </w:tc>
        <w:tc>
          <w:tcPr>
            <w:tcW w:w="1276" w:type="dxa"/>
          </w:tcPr>
          <w:p w14:paraId="79CE9B59"/>
        </w:tc>
      </w:tr>
      <w:tr w14:paraId="75E5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0" w:type="dxa"/>
          </w:tcPr>
          <w:p w14:paraId="2C2BD562">
            <w:r>
              <w:rPr>
                <w:rFonts w:hint="eastAsia"/>
              </w:rPr>
              <w:t>总分</w:t>
            </w:r>
          </w:p>
        </w:tc>
        <w:tc>
          <w:tcPr>
            <w:tcW w:w="1275" w:type="dxa"/>
          </w:tcPr>
          <w:p w14:paraId="28A5CB7F">
            <w:r>
              <w:rPr>
                <w:rFonts w:hint="eastAsia"/>
              </w:rPr>
              <w:t>100</w:t>
            </w:r>
          </w:p>
        </w:tc>
        <w:tc>
          <w:tcPr>
            <w:tcW w:w="1276" w:type="dxa"/>
          </w:tcPr>
          <w:p w14:paraId="7B7C9822"/>
        </w:tc>
      </w:tr>
      <w:tr w14:paraId="7E40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1" w:type="dxa"/>
            <w:gridSpan w:val="3"/>
          </w:tcPr>
          <w:p w14:paraId="7598B410">
            <w:pPr>
              <w:pStyle w:val="10"/>
              <w:numPr>
                <w:ilvl w:val="0"/>
                <w:numId w:val="3"/>
              </w:numPr>
              <w:contextualSpacing w:val="0"/>
            </w:pPr>
            <w:r>
              <w:rPr>
                <w:rFonts w:hint="eastAsia"/>
              </w:rPr>
              <w:t>您的意见和建议：</w:t>
            </w:r>
          </w:p>
        </w:tc>
      </w:tr>
    </w:tbl>
    <w:p w14:paraId="3B0F2BC4">
      <w:pPr>
        <w:sectPr>
          <w:pgSz w:w="11906" w:h="16838"/>
          <w:pgMar w:top="1440" w:right="1800" w:bottom="1440" w:left="1800" w:header="851" w:footer="992" w:gutter="0"/>
          <w:cols w:space="425" w:num="1"/>
          <w:docGrid w:type="lines" w:linePitch="312" w:charSpace="0"/>
        </w:sectPr>
      </w:pPr>
    </w:p>
    <w:p w14:paraId="29070754">
      <w:r>
        <w:rPr>
          <w:rFonts w:hint="eastAsia"/>
          <w:b/>
          <w:bCs/>
          <w:sz w:val="28"/>
          <w:szCs w:val="28"/>
        </w:rPr>
        <w:t>附件2</w:t>
      </w:r>
      <w:r>
        <w:rPr>
          <w:rFonts w:hint="eastAsia"/>
        </w:rPr>
        <w:t xml:space="preserve">            </w:t>
      </w:r>
    </w:p>
    <w:p w14:paraId="0DB0E867">
      <w:r>
        <w:rPr>
          <w:rFonts w:hint="eastAsia"/>
        </w:rPr>
        <w:t>医护人员对陪护满意度调查表</w:t>
      </w:r>
    </w:p>
    <w:tbl>
      <w:tblPr>
        <w:tblStyle w:val="6"/>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8"/>
        <w:gridCol w:w="1275"/>
        <w:gridCol w:w="1208"/>
      </w:tblGrid>
      <w:tr w14:paraId="16DE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56D06473">
            <w:r>
              <w:rPr>
                <w:rFonts w:hint="eastAsia"/>
              </w:rPr>
              <w:t>项  目</w:t>
            </w:r>
          </w:p>
        </w:tc>
        <w:tc>
          <w:tcPr>
            <w:tcW w:w="1275" w:type="dxa"/>
            <w:tcBorders>
              <w:right w:val="single" w:color="auto" w:sz="4" w:space="0"/>
            </w:tcBorders>
          </w:tcPr>
          <w:p w14:paraId="13AA6FFD">
            <w:r>
              <w:rPr>
                <w:rFonts w:hint="eastAsia"/>
              </w:rPr>
              <w:t>分值</w:t>
            </w:r>
          </w:p>
        </w:tc>
        <w:tc>
          <w:tcPr>
            <w:tcW w:w="1208" w:type="dxa"/>
            <w:tcBorders>
              <w:left w:val="single" w:color="auto" w:sz="4" w:space="0"/>
            </w:tcBorders>
          </w:tcPr>
          <w:p w14:paraId="0C96F915">
            <w:r>
              <w:rPr>
                <w:rFonts w:hint="eastAsia"/>
              </w:rPr>
              <w:t>得分</w:t>
            </w:r>
          </w:p>
        </w:tc>
      </w:tr>
      <w:tr w14:paraId="3241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68955CEB">
            <w:r>
              <w:rPr>
                <w:rFonts w:hint="eastAsia"/>
              </w:rPr>
              <w:t xml:space="preserve">1. 陪护人员着装是否规范、整洁 </w:t>
            </w:r>
          </w:p>
        </w:tc>
        <w:tc>
          <w:tcPr>
            <w:tcW w:w="1275" w:type="dxa"/>
            <w:tcBorders>
              <w:right w:val="single" w:color="auto" w:sz="4" w:space="0"/>
            </w:tcBorders>
          </w:tcPr>
          <w:p w14:paraId="451A9D0E">
            <w:pPr>
              <w:jc w:val="center"/>
            </w:pPr>
            <w:r>
              <w:rPr>
                <w:rFonts w:hint="eastAsia"/>
              </w:rPr>
              <w:t>5</w:t>
            </w:r>
          </w:p>
        </w:tc>
        <w:tc>
          <w:tcPr>
            <w:tcW w:w="1208" w:type="dxa"/>
            <w:tcBorders>
              <w:left w:val="single" w:color="auto" w:sz="4" w:space="0"/>
            </w:tcBorders>
          </w:tcPr>
          <w:p w14:paraId="2907FB54"/>
        </w:tc>
      </w:tr>
      <w:tr w14:paraId="5BA6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16B703D5">
            <w:r>
              <w:rPr>
                <w:rFonts w:hint="eastAsia"/>
              </w:rPr>
              <w:t>2. 陪护人员语言是否规范、是否微笑服务</w:t>
            </w:r>
          </w:p>
        </w:tc>
        <w:tc>
          <w:tcPr>
            <w:tcW w:w="1275" w:type="dxa"/>
            <w:tcBorders>
              <w:right w:val="single" w:color="auto" w:sz="4" w:space="0"/>
            </w:tcBorders>
          </w:tcPr>
          <w:p w14:paraId="061ACD9C">
            <w:pPr>
              <w:jc w:val="center"/>
            </w:pPr>
            <w:r>
              <w:rPr>
                <w:rFonts w:hint="eastAsia"/>
              </w:rPr>
              <w:t>5</w:t>
            </w:r>
          </w:p>
        </w:tc>
        <w:tc>
          <w:tcPr>
            <w:tcW w:w="1208" w:type="dxa"/>
            <w:tcBorders>
              <w:left w:val="single" w:color="auto" w:sz="4" w:space="0"/>
            </w:tcBorders>
          </w:tcPr>
          <w:p w14:paraId="4D4E9B3C"/>
        </w:tc>
      </w:tr>
      <w:tr w14:paraId="5FA9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0FC63128">
            <w:r>
              <w:rPr>
                <w:rFonts w:hint="eastAsia"/>
              </w:rPr>
              <w:t>3. 陪护人员对患者是否有爱心</w:t>
            </w:r>
          </w:p>
        </w:tc>
        <w:tc>
          <w:tcPr>
            <w:tcW w:w="1275" w:type="dxa"/>
            <w:tcBorders>
              <w:right w:val="single" w:color="auto" w:sz="4" w:space="0"/>
            </w:tcBorders>
          </w:tcPr>
          <w:p w14:paraId="41589376">
            <w:pPr>
              <w:jc w:val="center"/>
            </w:pPr>
            <w:r>
              <w:rPr>
                <w:rFonts w:hint="eastAsia"/>
              </w:rPr>
              <w:t>5</w:t>
            </w:r>
          </w:p>
        </w:tc>
        <w:tc>
          <w:tcPr>
            <w:tcW w:w="1208" w:type="dxa"/>
            <w:tcBorders>
              <w:left w:val="single" w:color="auto" w:sz="4" w:space="0"/>
            </w:tcBorders>
          </w:tcPr>
          <w:p w14:paraId="7E1DFE17"/>
        </w:tc>
      </w:tr>
      <w:tr w14:paraId="506C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0B28CE26">
            <w:r>
              <w:rPr>
                <w:rFonts w:hint="eastAsia"/>
              </w:rPr>
              <w:t>4. 陪护人员对患者的照顾是否专业到位</w:t>
            </w:r>
          </w:p>
        </w:tc>
        <w:tc>
          <w:tcPr>
            <w:tcW w:w="1275" w:type="dxa"/>
            <w:tcBorders>
              <w:right w:val="single" w:color="auto" w:sz="4" w:space="0"/>
            </w:tcBorders>
          </w:tcPr>
          <w:p w14:paraId="377938CF">
            <w:pPr>
              <w:jc w:val="center"/>
            </w:pPr>
            <w:r>
              <w:rPr>
                <w:rFonts w:hint="eastAsia"/>
              </w:rPr>
              <w:t>5</w:t>
            </w:r>
          </w:p>
        </w:tc>
        <w:tc>
          <w:tcPr>
            <w:tcW w:w="1208" w:type="dxa"/>
            <w:tcBorders>
              <w:left w:val="single" w:color="auto" w:sz="4" w:space="0"/>
            </w:tcBorders>
          </w:tcPr>
          <w:p w14:paraId="40852F19"/>
        </w:tc>
      </w:tr>
      <w:tr w14:paraId="6595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715D4D50">
            <w:r>
              <w:rPr>
                <w:rFonts w:hint="eastAsia"/>
              </w:rPr>
              <w:t>5. 患者床单元是否整洁、物品摆放是否规范</w:t>
            </w:r>
          </w:p>
        </w:tc>
        <w:tc>
          <w:tcPr>
            <w:tcW w:w="1275" w:type="dxa"/>
            <w:tcBorders>
              <w:right w:val="single" w:color="auto" w:sz="4" w:space="0"/>
            </w:tcBorders>
          </w:tcPr>
          <w:p w14:paraId="236BE94E">
            <w:pPr>
              <w:jc w:val="center"/>
            </w:pPr>
            <w:r>
              <w:rPr>
                <w:rFonts w:hint="eastAsia"/>
              </w:rPr>
              <w:t>5</w:t>
            </w:r>
          </w:p>
        </w:tc>
        <w:tc>
          <w:tcPr>
            <w:tcW w:w="1208" w:type="dxa"/>
            <w:tcBorders>
              <w:left w:val="single" w:color="auto" w:sz="4" w:space="0"/>
            </w:tcBorders>
          </w:tcPr>
          <w:p w14:paraId="7DE216E5"/>
        </w:tc>
      </w:tr>
      <w:tr w14:paraId="652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6748" w:type="dxa"/>
          </w:tcPr>
          <w:p w14:paraId="2BB4CBC8">
            <w:r>
              <w:rPr>
                <w:rFonts w:hint="eastAsia"/>
              </w:rPr>
              <w:t>6. 陪护人员是否经常干私活（耍手机、看电视、打瞌睡、长时间离开、串病房等）</w:t>
            </w:r>
          </w:p>
        </w:tc>
        <w:tc>
          <w:tcPr>
            <w:tcW w:w="1275" w:type="dxa"/>
            <w:tcBorders>
              <w:right w:val="single" w:color="auto" w:sz="4" w:space="0"/>
            </w:tcBorders>
          </w:tcPr>
          <w:p w14:paraId="51FA8D86">
            <w:pPr>
              <w:jc w:val="center"/>
            </w:pPr>
            <w:r>
              <w:rPr>
                <w:rFonts w:hint="eastAsia"/>
              </w:rPr>
              <w:t>10</w:t>
            </w:r>
          </w:p>
        </w:tc>
        <w:tc>
          <w:tcPr>
            <w:tcW w:w="1208" w:type="dxa"/>
            <w:tcBorders>
              <w:left w:val="single" w:color="auto" w:sz="4" w:space="0"/>
            </w:tcBorders>
          </w:tcPr>
          <w:p w14:paraId="14142DAA"/>
        </w:tc>
      </w:tr>
      <w:tr w14:paraId="1331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629DB055">
            <w:r>
              <w:rPr>
                <w:rFonts w:hint="eastAsia"/>
              </w:rPr>
              <w:t>7. 陪护人员是否主动与医护人员报告患者情况</w:t>
            </w:r>
          </w:p>
        </w:tc>
        <w:tc>
          <w:tcPr>
            <w:tcW w:w="1275" w:type="dxa"/>
            <w:tcBorders>
              <w:right w:val="single" w:color="auto" w:sz="4" w:space="0"/>
            </w:tcBorders>
          </w:tcPr>
          <w:p w14:paraId="568299D3">
            <w:pPr>
              <w:jc w:val="center"/>
            </w:pPr>
            <w:r>
              <w:rPr>
                <w:rFonts w:hint="eastAsia"/>
              </w:rPr>
              <w:t>5</w:t>
            </w:r>
          </w:p>
        </w:tc>
        <w:tc>
          <w:tcPr>
            <w:tcW w:w="1208" w:type="dxa"/>
            <w:tcBorders>
              <w:left w:val="single" w:color="auto" w:sz="4" w:space="0"/>
            </w:tcBorders>
          </w:tcPr>
          <w:p w14:paraId="6B541189"/>
        </w:tc>
      </w:tr>
      <w:tr w14:paraId="635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72A580E6">
            <w:r>
              <w:rPr>
                <w:rFonts w:hint="eastAsia"/>
              </w:rPr>
              <w:t>8. 陪护人员是否干涉医疗护理工作</w:t>
            </w:r>
          </w:p>
        </w:tc>
        <w:tc>
          <w:tcPr>
            <w:tcW w:w="1275" w:type="dxa"/>
            <w:tcBorders>
              <w:right w:val="single" w:color="auto" w:sz="4" w:space="0"/>
            </w:tcBorders>
          </w:tcPr>
          <w:p w14:paraId="524EDA02">
            <w:pPr>
              <w:jc w:val="center"/>
            </w:pPr>
            <w:r>
              <w:rPr>
                <w:rFonts w:hint="eastAsia"/>
              </w:rPr>
              <w:t>5</w:t>
            </w:r>
          </w:p>
        </w:tc>
        <w:tc>
          <w:tcPr>
            <w:tcW w:w="1208" w:type="dxa"/>
            <w:tcBorders>
              <w:left w:val="single" w:color="auto" w:sz="4" w:space="0"/>
            </w:tcBorders>
          </w:tcPr>
          <w:p w14:paraId="360E72A4"/>
        </w:tc>
      </w:tr>
      <w:tr w14:paraId="603F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2F6215AC">
            <w:r>
              <w:rPr>
                <w:rFonts w:hint="eastAsia"/>
              </w:rPr>
              <w:t>9. 陪护人员是否配合医护人员的工作</w:t>
            </w:r>
          </w:p>
        </w:tc>
        <w:tc>
          <w:tcPr>
            <w:tcW w:w="1275" w:type="dxa"/>
            <w:tcBorders>
              <w:right w:val="single" w:color="auto" w:sz="4" w:space="0"/>
            </w:tcBorders>
          </w:tcPr>
          <w:p w14:paraId="60E644FE">
            <w:pPr>
              <w:jc w:val="center"/>
            </w:pPr>
            <w:r>
              <w:rPr>
                <w:rFonts w:hint="eastAsia"/>
              </w:rPr>
              <w:t>5</w:t>
            </w:r>
          </w:p>
        </w:tc>
        <w:tc>
          <w:tcPr>
            <w:tcW w:w="1208" w:type="dxa"/>
            <w:tcBorders>
              <w:left w:val="single" w:color="auto" w:sz="4" w:space="0"/>
            </w:tcBorders>
          </w:tcPr>
          <w:p w14:paraId="7CF1B87C"/>
        </w:tc>
      </w:tr>
      <w:tr w14:paraId="6119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7AB9B44E">
            <w:r>
              <w:rPr>
                <w:rFonts w:hint="eastAsia"/>
              </w:rPr>
              <w:t xml:space="preserve">10. 陪护人员是否维护医院和科室的利益 </w:t>
            </w:r>
          </w:p>
        </w:tc>
        <w:tc>
          <w:tcPr>
            <w:tcW w:w="1275" w:type="dxa"/>
            <w:tcBorders>
              <w:right w:val="single" w:color="auto" w:sz="4" w:space="0"/>
            </w:tcBorders>
          </w:tcPr>
          <w:p w14:paraId="41470148">
            <w:pPr>
              <w:jc w:val="center"/>
            </w:pPr>
            <w:r>
              <w:rPr>
                <w:rFonts w:hint="eastAsia"/>
              </w:rPr>
              <w:t>5</w:t>
            </w:r>
          </w:p>
        </w:tc>
        <w:tc>
          <w:tcPr>
            <w:tcW w:w="1208" w:type="dxa"/>
            <w:tcBorders>
              <w:left w:val="single" w:color="auto" w:sz="4" w:space="0"/>
            </w:tcBorders>
          </w:tcPr>
          <w:p w14:paraId="5C090531"/>
        </w:tc>
      </w:tr>
      <w:tr w14:paraId="711D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174AC1F8">
            <w:r>
              <w:rPr>
                <w:rFonts w:hint="eastAsia"/>
              </w:rPr>
              <w:t>11. 陪护人员是否遵守医院及科室相关规章制度</w:t>
            </w:r>
          </w:p>
        </w:tc>
        <w:tc>
          <w:tcPr>
            <w:tcW w:w="1275" w:type="dxa"/>
            <w:tcBorders>
              <w:right w:val="single" w:color="auto" w:sz="4" w:space="0"/>
            </w:tcBorders>
          </w:tcPr>
          <w:p w14:paraId="2A0003F0">
            <w:pPr>
              <w:jc w:val="center"/>
            </w:pPr>
            <w:r>
              <w:rPr>
                <w:rFonts w:hint="eastAsia"/>
              </w:rPr>
              <w:t>5</w:t>
            </w:r>
          </w:p>
        </w:tc>
        <w:tc>
          <w:tcPr>
            <w:tcW w:w="1208" w:type="dxa"/>
            <w:tcBorders>
              <w:left w:val="single" w:color="auto" w:sz="4" w:space="0"/>
            </w:tcBorders>
          </w:tcPr>
          <w:p w14:paraId="5DA3D48B"/>
        </w:tc>
      </w:tr>
      <w:tr w14:paraId="4EAB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1E8859CD">
            <w:r>
              <w:rPr>
                <w:rFonts w:hint="eastAsia"/>
              </w:rPr>
              <w:t>12. 陪护公司主管是否经常指导、检查陪护工作</w:t>
            </w:r>
          </w:p>
        </w:tc>
        <w:tc>
          <w:tcPr>
            <w:tcW w:w="1275" w:type="dxa"/>
            <w:tcBorders>
              <w:right w:val="single" w:color="auto" w:sz="4" w:space="0"/>
            </w:tcBorders>
          </w:tcPr>
          <w:p w14:paraId="6FE9C717">
            <w:pPr>
              <w:jc w:val="center"/>
            </w:pPr>
            <w:r>
              <w:rPr>
                <w:rFonts w:hint="eastAsia"/>
              </w:rPr>
              <w:t>5</w:t>
            </w:r>
          </w:p>
        </w:tc>
        <w:tc>
          <w:tcPr>
            <w:tcW w:w="1208" w:type="dxa"/>
            <w:tcBorders>
              <w:left w:val="single" w:color="auto" w:sz="4" w:space="0"/>
            </w:tcBorders>
          </w:tcPr>
          <w:p w14:paraId="7687B157"/>
        </w:tc>
      </w:tr>
      <w:tr w14:paraId="589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1F36890D">
            <w:r>
              <w:rPr>
                <w:rFonts w:hint="eastAsia"/>
              </w:rPr>
              <w:t>13. 陪护公司对陪护培训是否到位</w:t>
            </w:r>
          </w:p>
        </w:tc>
        <w:tc>
          <w:tcPr>
            <w:tcW w:w="1275" w:type="dxa"/>
            <w:tcBorders>
              <w:right w:val="single" w:color="auto" w:sz="4" w:space="0"/>
            </w:tcBorders>
          </w:tcPr>
          <w:p w14:paraId="0A347637">
            <w:pPr>
              <w:jc w:val="center"/>
            </w:pPr>
            <w:r>
              <w:rPr>
                <w:rFonts w:hint="eastAsia"/>
              </w:rPr>
              <w:t>5</w:t>
            </w:r>
          </w:p>
        </w:tc>
        <w:tc>
          <w:tcPr>
            <w:tcW w:w="1208" w:type="dxa"/>
            <w:tcBorders>
              <w:left w:val="single" w:color="auto" w:sz="4" w:space="0"/>
            </w:tcBorders>
          </w:tcPr>
          <w:p w14:paraId="19A7E231"/>
        </w:tc>
      </w:tr>
      <w:tr w14:paraId="4474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20CE3968">
            <w:r>
              <w:rPr>
                <w:rFonts w:hint="eastAsia"/>
              </w:rPr>
              <w:t>14. 公司陪护人员是否存在挑选患者现象</w:t>
            </w:r>
          </w:p>
        </w:tc>
        <w:tc>
          <w:tcPr>
            <w:tcW w:w="1275" w:type="dxa"/>
            <w:tcBorders>
              <w:right w:val="single" w:color="auto" w:sz="4" w:space="0"/>
            </w:tcBorders>
          </w:tcPr>
          <w:p w14:paraId="227D0394">
            <w:pPr>
              <w:jc w:val="center"/>
            </w:pPr>
            <w:r>
              <w:rPr>
                <w:rFonts w:hint="eastAsia"/>
              </w:rPr>
              <w:t>5</w:t>
            </w:r>
          </w:p>
        </w:tc>
        <w:tc>
          <w:tcPr>
            <w:tcW w:w="1208" w:type="dxa"/>
            <w:tcBorders>
              <w:left w:val="single" w:color="auto" w:sz="4" w:space="0"/>
            </w:tcBorders>
          </w:tcPr>
          <w:p w14:paraId="30FF1278"/>
        </w:tc>
      </w:tr>
      <w:tr w14:paraId="6BA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3BD20149">
            <w:r>
              <w:rPr>
                <w:rFonts w:hint="eastAsia"/>
              </w:rPr>
              <w:t>15. 陪护公司派遣陪护是否及时</w:t>
            </w:r>
          </w:p>
        </w:tc>
        <w:tc>
          <w:tcPr>
            <w:tcW w:w="1275" w:type="dxa"/>
            <w:tcBorders>
              <w:right w:val="single" w:color="auto" w:sz="4" w:space="0"/>
            </w:tcBorders>
          </w:tcPr>
          <w:p w14:paraId="02882BC9">
            <w:pPr>
              <w:jc w:val="center"/>
            </w:pPr>
            <w:r>
              <w:rPr>
                <w:rFonts w:hint="eastAsia"/>
              </w:rPr>
              <w:t>5</w:t>
            </w:r>
          </w:p>
        </w:tc>
        <w:tc>
          <w:tcPr>
            <w:tcW w:w="1208" w:type="dxa"/>
            <w:tcBorders>
              <w:left w:val="single" w:color="auto" w:sz="4" w:space="0"/>
            </w:tcBorders>
          </w:tcPr>
          <w:p w14:paraId="3D045E77"/>
        </w:tc>
      </w:tr>
      <w:tr w14:paraId="7CBE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4500735D">
            <w:r>
              <w:rPr>
                <w:rFonts w:hint="eastAsia"/>
              </w:rPr>
              <w:t>16. 公司主管处理科室陪护问题是否及时有效</w:t>
            </w:r>
          </w:p>
        </w:tc>
        <w:tc>
          <w:tcPr>
            <w:tcW w:w="1275" w:type="dxa"/>
            <w:tcBorders>
              <w:right w:val="single" w:color="auto" w:sz="4" w:space="0"/>
            </w:tcBorders>
          </w:tcPr>
          <w:p w14:paraId="3D569006">
            <w:pPr>
              <w:jc w:val="center"/>
            </w:pPr>
            <w:r>
              <w:rPr>
                <w:rFonts w:hint="eastAsia"/>
              </w:rPr>
              <w:t>5</w:t>
            </w:r>
          </w:p>
        </w:tc>
        <w:tc>
          <w:tcPr>
            <w:tcW w:w="1208" w:type="dxa"/>
            <w:tcBorders>
              <w:left w:val="single" w:color="auto" w:sz="4" w:space="0"/>
            </w:tcBorders>
          </w:tcPr>
          <w:p w14:paraId="3CE01CD5"/>
        </w:tc>
      </w:tr>
      <w:tr w14:paraId="4943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43588D1A">
            <w:r>
              <w:rPr>
                <w:rFonts w:hint="eastAsia"/>
              </w:rPr>
              <w:t>17. 陪护公司收费是否合理</w:t>
            </w:r>
          </w:p>
        </w:tc>
        <w:tc>
          <w:tcPr>
            <w:tcW w:w="1275" w:type="dxa"/>
            <w:tcBorders>
              <w:right w:val="single" w:color="auto" w:sz="4" w:space="0"/>
            </w:tcBorders>
          </w:tcPr>
          <w:p w14:paraId="372A065F">
            <w:pPr>
              <w:jc w:val="center"/>
            </w:pPr>
            <w:r>
              <w:rPr>
                <w:rFonts w:hint="eastAsia"/>
              </w:rPr>
              <w:t>5</w:t>
            </w:r>
          </w:p>
        </w:tc>
        <w:tc>
          <w:tcPr>
            <w:tcW w:w="1208" w:type="dxa"/>
            <w:tcBorders>
              <w:left w:val="single" w:color="auto" w:sz="4" w:space="0"/>
            </w:tcBorders>
          </w:tcPr>
          <w:p w14:paraId="624341E0"/>
        </w:tc>
      </w:tr>
      <w:tr w14:paraId="35D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302E0326">
            <w:r>
              <w:rPr>
                <w:rFonts w:hint="eastAsia"/>
              </w:rPr>
              <w:t>18  公司陪护人员是否存在额外收取患者费用或物品现象</w:t>
            </w:r>
          </w:p>
        </w:tc>
        <w:tc>
          <w:tcPr>
            <w:tcW w:w="1275" w:type="dxa"/>
            <w:tcBorders>
              <w:right w:val="single" w:color="auto" w:sz="4" w:space="0"/>
            </w:tcBorders>
          </w:tcPr>
          <w:p w14:paraId="703B8AAA">
            <w:pPr>
              <w:jc w:val="center"/>
            </w:pPr>
            <w:r>
              <w:rPr>
                <w:rFonts w:hint="eastAsia"/>
              </w:rPr>
              <w:t>5</w:t>
            </w:r>
          </w:p>
        </w:tc>
        <w:tc>
          <w:tcPr>
            <w:tcW w:w="1208" w:type="dxa"/>
            <w:tcBorders>
              <w:left w:val="single" w:color="auto" w:sz="4" w:space="0"/>
            </w:tcBorders>
          </w:tcPr>
          <w:p w14:paraId="37438F00"/>
        </w:tc>
      </w:tr>
      <w:tr w14:paraId="44D6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4908CFAE">
            <w:r>
              <w:rPr>
                <w:rFonts w:hint="eastAsia"/>
              </w:rPr>
              <w:t>19. 您对科室陪护工作总体是否满意</w:t>
            </w:r>
          </w:p>
        </w:tc>
        <w:tc>
          <w:tcPr>
            <w:tcW w:w="1275" w:type="dxa"/>
            <w:tcBorders>
              <w:right w:val="single" w:color="auto" w:sz="4" w:space="0"/>
            </w:tcBorders>
          </w:tcPr>
          <w:p w14:paraId="7214181B">
            <w:pPr>
              <w:jc w:val="center"/>
            </w:pPr>
            <w:r>
              <w:rPr>
                <w:rFonts w:hint="eastAsia"/>
              </w:rPr>
              <w:t>5</w:t>
            </w:r>
          </w:p>
        </w:tc>
        <w:tc>
          <w:tcPr>
            <w:tcW w:w="1208" w:type="dxa"/>
            <w:tcBorders>
              <w:left w:val="single" w:color="auto" w:sz="4" w:space="0"/>
            </w:tcBorders>
          </w:tcPr>
          <w:p w14:paraId="07EDB21B"/>
        </w:tc>
      </w:tr>
      <w:tr w14:paraId="3601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48" w:type="dxa"/>
          </w:tcPr>
          <w:p w14:paraId="72B9CE5C">
            <w:r>
              <w:rPr>
                <w:rFonts w:hint="eastAsia"/>
              </w:rPr>
              <w:t>总分</w:t>
            </w:r>
          </w:p>
        </w:tc>
        <w:tc>
          <w:tcPr>
            <w:tcW w:w="1275" w:type="dxa"/>
            <w:tcBorders>
              <w:right w:val="single" w:color="auto" w:sz="4" w:space="0"/>
            </w:tcBorders>
          </w:tcPr>
          <w:p w14:paraId="5D2E8732">
            <w:pPr>
              <w:jc w:val="center"/>
            </w:pPr>
            <w:r>
              <w:rPr>
                <w:rFonts w:hint="eastAsia"/>
              </w:rPr>
              <w:t>100</w:t>
            </w:r>
          </w:p>
        </w:tc>
        <w:tc>
          <w:tcPr>
            <w:tcW w:w="1208" w:type="dxa"/>
            <w:tcBorders>
              <w:left w:val="single" w:color="auto" w:sz="4" w:space="0"/>
            </w:tcBorders>
          </w:tcPr>
          <w:p w14:paraId="5D057908"/>
        </w:tc>
      </w:tr>
      <w:tr w14:paraId="4C1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31" w:type="dxa"/>
            <w:gridSpan w:val="3"/>
          </w:tcPr>
          <w:p w14:paraId="60C3A183">
            <w:r>
              <w:rPr>
                <w:rFonts w:hint="eastAsia"/>
              </w:rPr>
              <w:t>20. 您的建议和意见：</w:t>
            </w:r>
          </w:p>
        </w:tc>
      </w:tr>
    </w:tbl>
    <w:p w14:paraId="51E6E000">
      <w:pPr>
        <w:sectPr>
          <w:pgSz w:w="11906" w:h="16838"/>
          <w:pgMar w:top="1440" w:right="1800" w:bottom="1440" w:left="1800" w:header="851" w:footer="992" w:gutter="0"/>
          <w:cols w:space="425" w:num="1"/>
          <w:docGrid w:type="lines" w:linePitch="312" w:charSpace="0"/>
        </w:sectPr>
      </w:pPr>
    </w:p>
    <w:p w14:paraId="212C2F6D">
      <w:r>
        <w:rPr>
          <w:rFonts w:hint="eastAsia" w:eastAsia="宋体" w:cs="宋体"/>
          <w:b/>
          <w:bCs/>
          <w:sz w:val="28"/>
          <w:szCs w:val="28"/>
        </w:rPr>
        <w:t xml:space="preserve">附件3   </w:t>
      </w:r>
      <w:r>
        <w:rPr>
          <w:rFonts w:hint="eastAsia"/>
        </w:rPr>
        <w:t xml:space="preserve">         </w:t>
      </w:r>
    </w:p>
    <w:p w14:paraId="372430C1">
      <w:pPr>
        <w:rPr>
          <w:rFonts w:hint="eastAsia" w:ascii="仿宋" w:hAnsi="仿宋" w:eastAsia="仿宋" w:cs="仿宋"/>
          <w:sz w:val="22"/>
        </w:rPr>
      </w:pPr>
      <w:r>
        <w:rPr>
          <w:rFonts w:hint="eastAsia"/>
        </w:rPr>
        <w:t>陪护服务质量考核评分表</w:t>
      </w:r>
    </w:p>
    <w:tbl>
      <w:tblPr>
        <w:tblStyle w:val="6"/>
        <w:tblW w:w="5000" w:type="pct"/>
        <w:tblInd w:w="0" w:type="dxa"/>
        <w:tblLayout w:type="fixed"/>
        <w:tblCellMar>
          <w:top w:w="0" w:type="dxa"/>
          <w:left w:w="108" w:type="dxa"/>
          <w:bottom w:w="0" w:type="dxa"/>
          <w:right w:w="108" w:type="dxa"/>
        </w:tblCellMar>
      </w:tblPr>
      <w:tblGrid>
        <w:gridCol w:w="739"/>
        <w:gridCol w:w="4152"/>
        <w:gridCol w:w="943"/>
        <w:gridCol w:w="467"/>
        <w:gridCol w:w="563"/>
        <w:gridCol w:w="499"/>
        <w:gridCol w:w="523"/>
        <w:gridCol w:w="564"/>
        <w:gridCol w:w="72"/>
      </w:tblGrid>
      <w:tr w14:paraId="7EFFC89C">
        <w:tblPrEx>
          <w:tblCellMar>
            <w:top w:w="0" w:type="dxa"/>
            <w:left w:w="108" w:type="dxa"/>
            <w:bottom w:w="0" w:type="dxa"/>
            <w:right w:w="108" w:type="dxa"/>
          </w:tblCellMar>
        </w:tblPrEx>
        <w:trPr>
          <w:gridAfter w:val="1"/>
          <w:wAfter w:w="42" w:type="pct"/>
          <w:trHeight w:val="398" w:hRule="atLeast"/>
        </w:trPr>
        <w:tc>
          <w:tcPr>
            <w:tcW w:w="4957" w:type="pct"/>
            <w:gridSpan w:val="8"/>
            <w:tcBorders>
              <w:top w:val="nil"/>
              <w:left w:val="nil"/>
              <w:bottom w:val="nil"/>
              <w:right w:val="nil"/>
            </w:tcBorders>
            <w:shd w:val="clear" w:color="auto" w:fill="auto"/>
            <w:noWrap/>
            <w:vAlign w:val="center"/>
          </w:tcPr>
          <w:p w14:paraId="026F32E2">
            <w:r>
              <w:rPr>
                <w:rFonts w:hint="eastAsia"/>
                <w:lang w:bidi="ar"/>
              </w:rPr>
              <w:t>科室：                考评日期：                  督导人员：</w:t>
            </w:r>
          </w:p>
        </w:tc>
      </w:tr>
      <w:tr w14:paraId="7E1EC70D">
        <w:tblPrEx>
          <w:tblCellMar>
            <w:top w:w="0" w:type="dxa"/>
            <w:left w:w="108" w:type="dxa"/>
            <w:bottom w:w="0" w:type="dxa"/>
            <w:right w:w="108" w:type="dxa"/>
          </w:tblCellMar>
        </w:tblPrEx>
        <w:trPr>
          <w:gridAfter w:val="1"/>
          <w:wAfter w:w="42" w:type="pct"/>
          <w:trHeight w:val="347" w:hRule="atLeast"/>
        </w:trPr>
        <w:tc>
          <w:tcPr>
            <w:tcW w:w="2869" w:type="pct"/>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5C017F0">
            <w:r>
              <w:rPr>
                <w:rFonts w:hint="eastAsia"/>
                <w:lang w:bidi="ar"/>
              </w:rPr>
              <w:t>检查项目</w:t>
            </w:r>
          </w:p>
        </w:tc>
        <w:tc>
          <w:tcPr>
            <w:tcW w:w="55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632822">
            <w:r>
              <w:rPr>
                <w:rFonts w:hint="eastAsia"/>
                <w:lang w:bidi="ar"/>
              </w:rPr>
              <w:t>科室</w:t>
            </w:r>
            <w:r>
              <w:rPr>
                <w:rFonts w:hint="eastAsia"/>
                <w:lang w:bidi="ar"/>
              </w:rPr>
              <w:br w:type="textWrapping"/>
            </w:r>
            <w:r>
              <w:rPr>
                <w:rFonts w:hint="eastAsia"/>
                <w:lang w:bidi="ar"/>
              </w:rPr>
              <w:t>结果</w:t>
            </w:r>
          </w:p>
        </w:tc>
        <w:tc>
          <w:tcPr>
            <w:tcW w:w="1534"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680760F0">
            <w:r>
              <w:rPr>
                <w:rFonts w:hint="eastAsia"/>
                <w:lang w:bidi="ar"/>
              </w:rPr>
              <w:t>护理员姓名及结果</w:t>
            </w:r>
          </w:p>
        </w:tc>
      </w:tr>
      <w:tr w14:paraId="4C3B2D4B">
        <w:tblPrEx>
          <w:tblCellMar>
            <w:top w:w="0" w:type="dxa"/>
            <w:left w:w="108" w:type="dxa"/>
            <w:bottom w:w="0" w:type="dxa"/>
            <w:right w:w="108" w:type="dxa"/>
          </w:tblCellMar>
        </w:tblPrEx>
        <w:trPr>
          <w:gridAfter w:val="1"/>
          <w:wAfter w:w="42" w:type="pct"/>
          <w:trHeight w:val="421" w:hRule="atLeast"/>
        </w:trPr>
        <w:tc>
          <w:tcPr>
            <w:tcW w:w="2869" w:type="pct"/>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DC74531"/>
        </w:tc>
        <w:tc>
          <w:tcPr>
            <w:tcW w:w="55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B6523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446D"/>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DCC4"/>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3CDE"/>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FF8B"/>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8374ABF"/>
        </w:tc>
      </w:tr>
      <w:tr w14:paraId="08F1B093">
        <w:tblPrEx>
          <w:tblCellMar>
            <w:top w:w="0" w:type="dxa"/>
            <w:left w:w="108" w:type="dxa"/>
            <w:bottom w:w="0" w:type="dxa"/>
            <w:right w:w="108" w:type="dxa"/>
          </w:tblCellMar>
        </w:tblPrEx>
        <w:trPr>
          <w:gridAfter w:val="1"/>
          <w:wAfter w:w="42" w:type="pct"/>
          <w:trHeight w:val="349"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5458106">
            <w:r>
              <w:rPr>
                <w:rFonts w:hint="eastAsia"/>
                <w:lang w:bidi="ar"/>
              </w:rPr>
              <w:t>1.仪容</w:t>
            </w:r>
            <w:r>
              <w:rPr>
                <w:rFonts w:hint="eastAsia"/>
                <w:lang w:bidi="ar"/>
              </w:rPr>
              <w:br w:type="textWrapping"/>
            </w:r>
            <w:r>
              <w:rPr>
                <w:rFonts w:hint="eastAsia"/>
                <w:lang w:bidi="ar"/>
              </w:rPr>
              <w:t>仪表</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7070">
            <w:r>
              <w:rPr>
                <w:rFonts w:hint="eastAsia"/>
                <w:lang w:bidi="ar"/>
              </w:rPr>
              <w:t>1.1 护理员个人卫生：洗手、修剪指甲、整体清洁</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4770"/>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69DB"/>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CC0D"/>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F23A"/>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7D4E"/>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B0FD1D5"/>
        </w:tc>
      </w:tr>
      <w:tr w14:paraId="43780790">
        <w:tblPrEx>
          <w:tblCellMar>
            <w:top w:w="0" w:type="dxa"/>
            <w:left w:w="108" w:type="dxa"/>
            <w:bottom w:w="0" w:type="dxa"/>
            <w:right w:w="108" w:type="dxa"/>
          </w:tblCellMar>
        </w:tblPrEx>
        <w:trPr>
          <w:gridAfter w:val="1"/>
          <w:wAfter w:w="42" w:type="pct"/>
          <w:trHeight w:val="627"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0FA2DD"/>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B93F">
            <w:r>
              <w:rPr>
                <w:rFonts w:hint="eastAsia"/>
                <w:lang w:bidi="ar"/>
              </w:rPr>
              <w:t>1.2 着装规范：头发整洁、着工作服、佩戴服务牌/陪护证、不穿拖鞋</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923C"/>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D44D"/>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52E8"/>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6C52"/>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37B1"/>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1E75A18"/>
        </w:tc>
      </w:tr>
      <w:tr w14:paraId="0AC57AD4">
        <w:tblPrEx>
          <w:tblCellMar>
            <w:top w:w="0" w:type="dxa"/>
            <w:left w:w="108" w:type="dxa"/>
            <w:bottom w:w="0" w:type="dxa"/>
            <w:right w:w="108" w:type="dxa"/>
          </w:tblCellMar>
        </w:tblPrEx>
        <w:trPr>
          <w:gridAfter w:val="1"/>
          <w:wAfter w:w="42" w:type="pct"/>
          <w:trHeight w:val="366"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EC6E5AB">
            <w:r>
              <w:rPr>
                <w:rFonts w:hint="eastAsia"/>
                <w:lang w:bidi="ar"/>
              </w:rPr>
              <w:t>2.工作</w:t>
            </w:r>
            <w:r>
              <w:rPr>
                <w:rFonts w:hint="eastAsia"/>
                <w:lang w:bidi="ar"/>
              </w:rPr>
              <w:br w:type="textWrapping"/>
            </w:r>
            <w:r>
              <w:rPr>
                <w:rFonts w:hint="eastAsia"/>
                <w:lang w:bidi="ar"/>
              </w:rPr>
              <w:t>态度</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C077">
            <w:r>
              <w:rPr>
                <w:rFonts w:hint="eastAsia"/>
                <w:lang w:bidi="ar"/>
              </w:rPr>
              <w:t>2.1 态度和蔼、仪表大方、礼貌待人、用语规范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6C12"/>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DC62"/>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8062"/>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EED7"/>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93A2"/>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E868C68"/>
        </w:tc>
      </w:tr>
      <w:tr w14:paraId="3F39F0DE">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05D30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6B3">
            <w:r>
              <w:rPr>
                <w:rFonts w:hint="eastAsia"/>
                <w:lang w:bidi="ar"/>
              </w:rPr>
              <w:t>2.2 服从管理、文明陪护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B758"/>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572D"/>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39A2"/>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D5FE"/>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3875"/>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552A969"/>
        </w:tc>
      </w:tr>
      <w:tr w14:paraId="335EAD8B">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DA58AE"/>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D17E">
            <w:r>
              <w:rPr>
                <w:rFonts w:hint="eastAsia"/>
                <w:lang w:bidi="ar"/>
              </w:rPr>
              <w:t>2.3 严守医疗秘密，尊重患者的权利，保护患者隐私</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B72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079F"/>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17EE"/>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F601"/>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5776"/>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9E50E35"/>
        </w:tc>
      </w:tr>
      <w:tr w14:paraId="106AF651">
        <w:tblPrEx>
          <w:tblCellMar>
            <w:top w:w="0" w:type="dxa"/>
            <w:left w:w="108" w:type="dxa"/>
            <w:bottom w:w="0" w:type="dxa"/>
            <w:right w:w="108" w:type="dxa"/>
          </w:tblCellMar>
        </w:tblPrEx>
        <w:trPr>
          <w:gridAfter w:val="1"/>
          <w:wAfter w:w="42" w:type="pct"/>
          <w:trHeight w:val="36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34805E"/>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6BF1">
            <w:r>
              <w:rPr>
                <w:rFonts w:hint="eastAsia"/>
                <w:lang w:bidi="ar"/>
              </w:rPr>
              <w:t>2.4 陪护证与实际护理床号相符合</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D591"/>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ED6C"/>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2898"/>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1953"/>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5149"/>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A50FF9C"/>
        </w:tc>
      </w:tr>
      <w:tr w14:paraId="24A920BC">
        <w:tblPrEx>
          <w:tblCellMar>
            <w:top w:w="0" w:type="dxa"/>
            <w:left w:w="108" w:type="dxa"/>
            <w:bottom w:w="0" w:type="dxa"/>
            <w:right w:w="108" w:type="dxa"/>
          </w:tblCellMar>
        </w:tblPrEx>
        <w:trPr>
          <w:gridAfter w:val="1"/>
          <w:wAfter w:w="42" w:type="pct"/>
          <w:trHeight w:val="326"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2784888">
            <w:r>
              <w:rPr>
                <w:rFonts w:hint="eastAsia"/>
                <w:lang w:bidi="ar"/>
              </w:rPr>
              <w:t>3.陪护服务</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71B6">
            <w:r>
              <w:rPr>
                <w:rFonts w:hint="eastAsia"/>
                <w:lang w:bidi="ar"/>
              </w:rPr>
              <w:t>3.1 床单整洁、床下无杂物</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009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D13D"/>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DAF6"/>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0C59"/>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8B47"/>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AAAC736"/>
        </w:tc>
      </w:tr>
      <w:tr w14:paraId="3ABFE0E8">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59960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5A32">
            <w:r>
              <w:rPr>
                <w:rFonts w:hint="eastAsia"/>
                <w:lang w:bidi="ar"/>
              </w:rPr>
              <w:t>3.2 床头柜物品摆放规范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E6DC"/>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76B0"/>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25F0"/>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4687"/>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5075"/>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0E560D0"/>
        </w:tc>
      </w:tr>
      <w:tr w14:paraId="01AA9682">
        <w:tblPrEx>
          <w:tblCellMar>
            <w:top w:w="0" w:type="dxa"/>
            <w:left w:w="108" w:type="dxa"/>
            <w:bottom w:w="0" w:type="dxa"/>
            <w:right w:w="108" w:type="dxa"/>
          </w:tblCellMar>
        </w:tblPrEx>
        <w:trPr>
          <w:gridAfter w:val="1"/>
          <w:wAfter w:w="42" w:type="pct"/>
          <w:trHeight w:val="294"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3F9D9"/>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E44D">
            <w:r>
              <w:rPr>
                <w:rFonts w:hint="eastAsia"/>
                <w:lang w:bidi="ar"/>
              </w:rPr>
              <w:t>3.3 患者用品清洁、整齐放置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628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6E98"/>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94BC"/>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D022"/>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680B"/>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D59309C"/>
        </w:tc>
      </w:tr>
      <w:tr w14:paraId="244E7163">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5CB7CC"/>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3EC">
            <w:r>
              <w:rPr>
                <w:rFonts w:hint="eastAsia"/>
                <w:lang w:bidi="ar"/>
              </w:rPr>
              <w:t>3.4 患者口腔清洁无异味</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5903"/>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B56A"/>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5796"/>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D230"/>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33DC"/>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04B5025"/>
        </w:tc>
      </w:tr>
      <w:tr w14:paraId="38979044">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60A38D"/>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4817">
            <w:r>
              <w:rPr>
                <w:rFonts w:hint="eastAsia"/>
                <w:lang w:bidi="ar"/>
              </w:rPr>
              <w:t>3.5 患者头发整洁无异味</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7B8A"/>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272A"/>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3B6A"/>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4473"/>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BBAD"/>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9E6DC20"/>
        </w:tc>
      </w:tr>
      <w:tr w14:paraId="6FB7DC94">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655F9"/>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000F">
            <w:r>
              <w:rPr>
                <w:rFonts w:hint="eastAsia"/>
                <w:lang w:bidi="ar"/>
              </w:rPr>
              <w:t>3.6 及时协助翻身，患者皮肤无新增破损、无受压</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07AF"/>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7BF1"/>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D5AC"/>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EA8C"/>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C623"/>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A371F48"/>
        </w:tc>
      </w:tr>
      <w:tr w14:paraId="305F3E63">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96084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AF5D">
            <w:r>
              <w:rPr>
                <w:rFonts w:hint="eastAsia"/>
                <w:lang w:bidi="ar"/>
              </w:rPr>
              <w:t>3.7患者导管通畅无受压、折叠</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4A58"/>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D75A"/>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792D"/>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9953"/>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E729"/>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291D9DA"/>
        </w:tc>
      </w:tr>
      <w:tr w14:paraId="2440470A">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92CAA"/>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584A">
            <w:r>
              <w:rPr>
                <w:rFonts w:hint="eastAsia"/>
                <w:lang w:bidi="ar"/>
              </w:rPr>
              <w:t>3.8 患者体位舒适</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E341"/>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FC52"/>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A91C"/>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7069"/>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52CC"/>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E16301B"/>
        </w:tc>
      </w:tr>
      <w:tr w14:paraId="6D03F8BF">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20C32"/>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B187">
            <w:r>
              <w:rPr>
                <w:rFonts w:hint="eastAsia"/>
                <w:lang w:bidi="ar"/>
              </w:rPr>
              <w:t>3.9 定时为患者身体清洁无异味</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04E"/>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F858"/>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10CC"/>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513A"/>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638"/>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B587EC3"/>
        </w:tc>
      </w:tr>
      <w:tr w14:paraId="4B3F66B3">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6AA58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2CD9">
            <w:r>
              <w:rPr>
                <w:rFonts w:hint="eastAsia"/>
                <w:lang w:bidi="ar"/>
              </w:rPr>
              <w:t>3.10 患者指甲符合规范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3D8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1C76"/>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D274"/>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8214"/>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4695"/>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4408BC8"/>
        </w:tc>
      </w:tr>
      <w:tr w14:paraId="0F1C923B">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3C235"/>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5BA5">
            <w:r>
              <w:rPr>
                <w:rFonts w:hint="eastAsia"/>
                <w:lang w:bidi="ar"/>
              </w:rPr>
              <w:t>3.11 协助男患者剃胡须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B478"/>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05CF"/>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A21A"/>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995D"/>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3710"/>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2793615"/>
        </w:tc>
      </w:tr>
      <w:tr w14:paraId="26958054">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22A9AA"/>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BC7F">
            <w:r>
              <w:rPr>
                <w:rFonts w:hint="eastAsia"/>
                <w:lang w:bidi="ar"/>
              </w:rPr>
              <w:t>3.12 患者衣着舒适</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1087"/>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F451"/>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A934"/>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31AB"/>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37AD"/>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77CB76D"/>
        </w:tc>
      </w:tr>
      <w:tr w14:paraId="394A1935">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68E50A"/>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9842">
            <w:r>
              <w:rPr>
                <w:rFonts w:hint="eastAsia"/>
                <w:lang w:bidi="ar"/>
              </w:rPr>
              <w:t>3.13 与患者沟通，了解患者情绪</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FDD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B6C2"/>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1D46"/>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E1D8"/>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E606"/>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0E43C1"/>
        </w:tc>
      </w:tr>
      <w:tr w14:paraId="711327C9">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B5D4C7"/>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BDEB">
            <w:r>
              <w:rPr>
                <w:rFonts w:hint="eastAsia"/>
                <w:lang w:bidi="ar"/>
              </w:rPr>
              <w:t>3.14 协助患者进食</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C23B"/>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0D73"/>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E193"/>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9459"/>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1344"/>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C3F822"/>
        </w:tc>
      </w:tr>
      <w:tr w14:paraId="4F869350">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A3865"/>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1D3B">
            <w:r>
              <w:rPr>
                <w:rFonts w:hint="eastAsia"/>
                <w:lang w:bidi="ar"/>
              </w:rPr>
              <w:t>3.15 严守工作岗位，未擅自离开病房</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568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059"/>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EC9E"/>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2B68"/>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35F6"/>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811D78A"/>
        </w:tc>
      </w:tr>
      <w:tr w14:paraId="18178D14">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CE372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E43B">
            <w:r>
              <w:rPr>
                <w:rFonts w:hint="eastAsia"/>
                <w:lang w:bidi="ar"/>
              </w:rPr>
              <w:t>3.16 未超范围服务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7815"/>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B6DE"/>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1214"/>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6248"/>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4CE9"/>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A6537B8"/>
        </w:tc>
      </w:tr>
      <w:tr w14:paraId="3B14E816">
        <w:tblPrEx>
          <w:tblCellMar>
            <w:top w:w="0" w:type="dxa"/>
            <w:left w:w="108" w:type="dxa"/>
            <w:bottom w:w="0" w:type="dxa"/>
            <w:right w:w="108" w:type="dxa"/>
          </w:tblCellMar>
        </w:tblPrEx>
        <w:trPr>
          <w:gridAfter w:val="1"/>
          <w:wAfter w:w="42" w:type="pct"/>
          <w:trHeight w:val="627"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8BECCA">
            <w:r>
              <w:rPr>
                <w:rFonts w:hint="eastAsia"/>
                <w:lang w:bidi="ar"/>
              </w:rPr>
              <w:t>4.公司管理</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E7E2">
            <w:r>
              <w:rPr>
                <w:rFonts w:hint="eastAsia"/>
                <w:lang w:bidi="ar"/>
              </w:rPr>
              <w:t>4.1 针对医疗护理员，有岗前培训、每月进行岗位技能、职业道德、医院感染管理、消防安全等强化培训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B585"/>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A926"/>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FDFB"/>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6497"/>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EFF6"/>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D059AEA"/>
        </w:tc>
      </w:tr>
      <w:tr w14:paraId="1C78B528">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186F1B"/>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33DA">
            <w:r>
              <w:rPr>
                <w:rFonts w:hint="eastAsia"/>
                <w:lang w:bidi="ar"/>
              </w:rPr>
              <w:t>4.2 每月对管理人员进行培训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1240"/>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1C36"/>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F9F2"/>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607B"/>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1590"/>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C1F0112"/>
        </w:tc>
      </w:tr>
      <w:tr w14:paraId="6A8179E1">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CA7A0C"/>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193E">
            <w:r>
              <w:rPr>
                <w:rFonts w:hint="eastAsia"/>
                <w:lang w:bidi="ar"/>
              </w:rPr>
              <w:t>4.3 对医疗护理员进行备案</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352B"/>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7DB2"/>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1605"/>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7724"/>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1D4"/>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611233B"/>
        </w:tc>
      </w:tr>
      <w:tr w14:paraId="38CAD2C8">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2D98B7"/>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4E24">
            <w:r>
              <w:rPr>
                <w:rFonts w:hint="eastAsia"/>
                <w:lang w:bidi="ar"/>
              </w:rPr>
              <w:t>4.4 身份证有效</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949E"/>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4D8F"/>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50D3"/>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7B75"/>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F1F3"/>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F4BC4D5"/>
        </w:tc>
      </w:tr>
      <w:tr w14:paraId="366833DF">
        <w:tblPrEx>
          <w:tblCellMar>
            <w:top w:w="0" w:type="dxa"/>
            <w:left w:w="108" w:type="dxa"/>
            <w:bottom w:w="0" w:type="dxa"/>
            <w:right w:w="108" w:type="dxa"/>
          </w:tblCellMar>
        </w:tblPrEx>
        <w:trPr>
          <w:gridAfter w:val="1"/>
          <w:wAfter w:w="42" w:type="pct"/>
          <w:trHeight w:val="34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050D5C"/>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5FEE">
            <w:r>
              <w:rPr>
                <w:rFonts w:hint="eastAsia"/>
                <w:lang w:bidi="ar"/>
              </w:rPr>
              <w:t>4.5 健康证信息准确，有效</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21AC"/>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B91F"/>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BAFF"/>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8F39"/>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353B"/>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8E0E2C4"/>
        </w:tc>
      </w:tr>
      <w:tr w14:paraId="1795D93D">
        <w:tblPrEx>
          <w:tblCellMar>
            <w:top w:w="0" w:type="dxa"/>
            <w:left w:w="108" w:type="dxa"/>
            <w:bottom w:w="0" w:type="dxa"/>
            <w:right w:w="108" w:type="dxa"/>
          </w:tblCellMar>
        </w:tblPrEx>
        <w:trPr>
          <w:gridAfter w:val="1"/>
          <w:wAfter w:w="42" w:type="pct"/>
          <w:trHeight w:val="349" w:hRule="atLeast"/>
        </w:trPr>
        <w:tc>
          <w:tcPr>
            <w:tcW w:w="433" w:type="pct"/>
            <w:tcBorders>
              <w:top w:val="single" w:color="000000" w:sz="4" w:space="0"/>
              <w:left w:val="single" w:color="000000" w:sz="8" w:space="0"/>
              <w:right w:val="single" w:color="000000" w:sz="4" w:space="0"/>
            </w:tcBorders>
            <w:shd w:val="clear" w:color="auto" w:fill="auto"/>
            <w:vAlign w:val="center"/>
          </w:tcPr>
          <w:p w14:paraId="569AD477"/>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CD00">
            <w:r>
              <w:rPr>
                <w:rFonts w:hint="eastAsia"/>
                <w:lang w:bidi="ar"/>
              </w:rPr>
              <w:t>4.6 培训合格证书信息准确，有效</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1E78"/>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8E2D"/>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311C"/>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DF92"/>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9E8F"/>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7D2A877"/>
        </w:tc>
      </w:tr>
      <w:tr w14:paraId="23B5A141">
        <w:tblPrEx>
          <w:tblCellMar>
            <w:top w:w="0" w:type="dxa"/>
            <w:left w:w="108" w:type="dxa"/>
            <w:bottom w:w="0" w:type="dxa"/>
            <w:right w:w="108" w:type="dxa"/>
          </w:tblCellMar>
        </w:tblPrEx>
        <w:trPr>
          <w:gridAfter w:val="1"/>
          <w:wAfter w:w="42" w:type="pct"/>
          <w:trHeight w:val="627" w:hRule="atLeast"/>
        </w:trPr>
        <w:tc>
          <w:tcPr>
            <w:tcW w:w="433" w:type="pct"/>
            <w:vMerge w:val="restart"/>
            <w:tcBorders>
              <w:top w:val="single" w:color="000000" w:sz="4" w:space="0"/>
              <w:left w:val="single" w:color="000000" w:sz="8" w:space="0"/>
              <w:right w:val="single" w:color="000000" w:sz="4" w:space="0"/>
            </w:tcBorders>
            <w:shd w:val="clear" w:color="auto" w:fill="auto"/>
            <w:vAlign w:val="center"/>
          </w:tcPr>
          <w:p w14:paraId="6ABBC43C"/>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3226">
            <w:r>
              <w:rPr>
                <w:rFonts w:hint="eastAsia"/>
                <w:lang w:bidi="ar"/>
              </w:rPr>
              <w:t>4.7 病患陪护等级的分级标准、服务内涵、服务项目在病房醒目位置公示，病区公示医疗护理员信息与实际相符</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BB6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2A9"/>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D602"/>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CF6F"/>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C4D2"/>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656A8E"/>
        </w:tc>
      </w:tr>
      <w:tr w14:paraId="46ACFF51">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F80206"/>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57A1">
            <w:r>
              <w:rPr>
                <w:rFonts w:hint="eastAsia"/>
                <w:lang w:bidi="ar"/>
              </w:rPr>
              <w:t>4.8 签订三方陪护协议,并交患者留存</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7ED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2FFB"/>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B8A0"/>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C97D"/>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174"/>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4CFE5BA"/>
        </w:tc>
      </w:tr>
      <w:tr w14:paraId="48C3AB35">
        <w:tblPrEx>
          <w:tblCellMar>
            <w:top w:w="0" w:type="dxa"/>
            <w:left w:w="108" w:type="dxa"/>
            <w:bottom w:w="0" w:type="dxa"/>
            <w:right w:w="108" w:type="dxa"/>
          </w:tblCellMar>
        </w:tblPrEx>
        <w:trPr>
          <w:gridAfter w:val="1"/>
          <w:wAfter w:w="42" w:type="pct"/>
          <w:trHeight w:val="326"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CB9998"/>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4DE3">
            <w:r>
              <w:rPr>
                <w:rFonts w:hint="eastAsia"/>
                <w:lang w:bidi="ar"/>
              </w:rPr>
              <w:t>4.9 按公示标准收费：小组制/一对一</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C612"/>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7AC0"/>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0C43"/>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517C"/>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F882"/>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0C73D0"/>
        </w:tc>
      </w:tr>
      <w:tr w14:paraId="6E68745C">
        <w:tblPrEx>
          <w:tblCellMar>
            <w:top w:w="0" w:type="dxa"/>
            <w:left w:w="108" w:type="dxa"/>
            <w:bottom w:w="0" w:type="dxa"/>
            <w:right w:w="108" w:type="dxa"/>
          </w:tblCellMar>
        </w:tblPrEx>
        <w:trPr>
          <w:gridAfter w:val="1"/>
          <w:wAfter w:w="42" w:type="pct"/>
          <w:trHeight w:val="326"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58BF662">
            <w:r>
              <w:rPr>
                <w:rFonts w:hint="eastAsia"/>
                <w:lang w:bidi="ar"/>
              </w:rPr>
              <w:t>5.质量管理</w:t>
            </w:r>
          </w:p>
        </w:tc>
        <w:tc>
          <w:tcPr>
            <w:tcW w:w="2436" w:type="pct"/>
            <w:tcBorders>
              <w:top w:val="single" w:color="000000" w:sz="4" w:space="0"/>
              <w:left w:val="single" w:color="000000" w:sz="4" w:space="0"/>
              <w:bottom w:val="nil"/>
              <w:right w:val="single" w:color="000000" w:sz="4" w:space="0"/>
            </w:tcBorders>
            <w:shd w:val="clear" w:color="auto" w:fill="auto"/>
            <w:vAlign w:val="center"/>
          </w:tcPr>
          <w:p w14:paraId="3577D72F">
            <w:r>
              <w:rPr>
                <w:rFonts w:hint="eastAsia"/>
                <w:lang w:bidi="ar"/>
              </w:rPr>
              <w:t>5.1 患者/家属满意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E7C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EF53"/>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0CCE"/>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29E2"/>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7DEC"/>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5B290C3"/>
        </w:tc>
      </w:tr>
      <w:tr w14:paraId="3467ADAE">
        <w:tblPrEx>
          <w:tblCellMar>
            <w:top w:w="0" w:type="dxa"/>
            <w:left w:w="108" w:type="dxa"/>
            <w:bottom w:w="0" w:type="dxa"/>
            <w:right w:w="108" w:type="dxa"/>
          </w:tblCellMar>
        </w:tblPrEx>
        <w:trPr>
          <w:gridAfter w:val="1"/>
          <w:wAfter w:w="42" w:type="pct"/>
          <w:trHeight w:val="468"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44E05D"/>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1BD6">
            <w:r>
              <w:rPr>
                <w:rFonts w:hint="eastAsia"/>
                <w:lang w:bidi="ar"/>
              </w:rPr>
              <w:t>5.2 无相关服务投诉</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C899"/>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3F9E"/>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666B"/>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DE6E"/>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E759"/>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D3EFC73"/>
        </w:tc>
      </w:tr>
      <w:tr w14:paraId="1BDBDE83">
        <w:tblPrEx>
          <w:tblCellMar>
            <w:top w:w="0" w:type="dxa"/>
            <w:left w:w="108" w:type="dxa"/>
            <w:bottom w:w="0" w:type="dxa"/>
            <w:right w:w="108" w:type="dxa"/>
          </w:tblCellMar>
        </w:tblPrEx>
        <w:trPr>
          <w:gridAfter w:val="1"/>
          <w:wAfter w:w="42" w:type="pct"/>
          <w:trHeight w:val="326" w:hRule="atLeast"/>
        </w:trPr>
        <w:tc>
          <w:tcPr>
            <w:tcW w:w="4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87EC741">
            <w:r>
              <w:rPr>
                <w:rFonts w:hint="eastAsia"/>
                <w:lang w:bidi="ar"/>
              </w:rPr>
              <w:t>6.安全生产</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B054">
            <w:r>
              <w:rPr>
                <w:rFonts w:hint="eastAsia"/>
                <w:lang w:bidi="ar"/>
              </w:rPr>
              <w:t>6.1 医疗护理员未携带易燃易爆及其它危险品</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4456"/>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451A"/>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C736"/>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53DA"/>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B5ED"/>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B2815E0"/>
        </w:tc>
      </w:tr>
      <w:tr w14:paraId="702331D3">
        <w:tblPrEx>
          <w:tblCellMar>
            <w:top w:w="0" w:type="dxa"/>
            <w:left w:w="108" w:type="dxa"/>
            <w:bottom w:w="0" w:type="dxa"/>
            <w:right w:w="108" w:type="dxa"/>
          </w:tblCellMar>
        </w:tblPrEx>
        <w:trPr>
          <w:gridAfter w:val="1"/>
          <w:wAfter w:w="42" w:type="pct"/>
          <w:trHeight w:val="389" w:hRule="atLeast"/>
        </w:trPr>
        <w:tc>
          <w:tcPr>
            <w:tcW w:w="4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F3FA8A"/>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6DC1">
            <w:r>
              <w:rPr>
                <w:rFonts w:hint="eastAsia"/>
                <w:lang w:bidi="ar"/>
              </w:rPr>
              <w:t>6.2 医疗护理员未违规使用电器</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54FD"/>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3983"/>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3AFF"/>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0B67"/>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1BD4"/>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8806157"/>
        </w:tc>
      </w:tr>
      <w:tr w14:paraId="0AC55A80">
        <w:tblPrEx>
          <w:tblCellMar>
            <w:top w:w="0" w:type="dxa"/>
            <w:left w:w="108" w:type="dxa"/>
            <w:bottom w:w="0" w:type="dxa"/>
            <w:right w:w="108" w:type="dxa"/>
          </w:tblCellMar>
        </w:tblPrEx>
        <w:trPr>
          <w:gridAfter w:val="1"/>
          <w:wAfter w:w="42" w:type="pct"/>
          <w:trHeight w:val="408" w:hRule="atLeast"/>
        </w:trPr>
        <w:tc>
          <w:tcPr>
            <w:tcW w:w="2869" w:type="pct"/>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3B6929">
            <w:r>
              <w:rPr>
                <w:rFonts w:hint="eastAsia"/>
                <w:lang w:bidi="ar"/>
              </w:rPr>
              <w:t>落实率(%)</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06F6"/>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E6A0"/>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9178"/>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807D"/>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F15C"/>
        </w:tc>
        <w:tc>
          <w:tcPr>
            <w:tcW w:w="33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CB27DF"/>
        </w:tc>
      </w:tr>
      <w:tr w14:paraId="7A950F83">
        <w:tblPrEx>
          <w:tblCellMar>
            <w:top w:w="0" w:type="dxa"/>
            <w:left w:w="108" w:type="dxa"/>
            <w:bottom w:w="0" w:type="dxa"/>
            <w:right w:w="108" w:type="dxa"/>
          </w:tblCellMar>
        </w:tblPrEx>
        <w:trPr>
          <w:gridAfter w:val="1"/>
          <w:wAfter w:w="42" w:type="pct"/>
          <w:trHeight w:val="408" w:hRule="atLeast"/>
        </w:trPr>
        <w:tc>
          <w:tcPr>
            <w:tcW w:w="2869" w:type="pct"/>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502D94B9">
            <w:r>
              <w:rPr>
                <w:rFonts w:hint="eastAsia"/>
                <w:lang w:bidi="ar"/>
              </w:rPr>
              <w:t>接受检查者签名</w:t>
            </w:r>
          </w:p>
        </w:tc>
        <w:tc>
          <w:tcPr>
            <w:tcW w:w="55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7FAF6E32"/>
        </w:tc>
        <w:tc>
          <w:tcPr>
            <w:tcW w:w="27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08237113"/>
        </w:tc>
        <w:tc>
          <w:tcPr>
            <w:tcW w:w="33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2B59196"/>
        </w:tc>
        <w:tc>
          <w:tcPr>
            <w:tcW w:w="292"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1A9EFD5D"/>
        </w:tc>
        <w:tc>
          <w:tcPr>
            <w:tcW w:w="30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06A9267"/>
        </w:tc>
        <w:tc>
          <w:tcPr>
            <w:tcW w:w="330"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37F6D67"/>
        </w:tc>
      </w:tr>
      <w:tr w14:paraId="4727A29A">
        <w:tblPrEx>
          <w:tblCellMar>
            <w:top w:w="0" w:type="dxa"/>
            <w:left w:w="108" w:type="dxa"/>
            <w:bottom w:w="0" w:type="dxa"/>
            <w:right w:w="108" w:type="dxa"/>
          </w:tblCellMar>
        </w:tblPrEx>
        <w:trPr>
          <w:trHeight w:val="329" w:hRule="atLeast"/>
        </w:trPr>
        <w:tc>
          <w:tcPr>
            <w:tcW w:w="5000" w:type="pct"/>
            <w:gridSpan w:val="9"/>
            <w:tcBorders>
              <w:top w:val="nil"/>
              <w:left w:val="nil"/>
              <w:bottom w:val="nil"/>
              <w:right w:val="nil"/>
            </w:tcBorders>
            <w:shd w:val="clear" w:color="auto" w:fill="auto"/>
            <w:noWrap/>
            <w:vAlign w:val="center"/>
          </w:tcPr>
          <w:p w14:paraId="4381019C">
            <w:r>
              <w:rPr>
                <w:rFonts w:hint="eastAsia"/>
                <w:lang w:bidi="ar"/>
              </w:rPr>
              <w:t>一、检查说明：</w:t>
            </w:r>
          </w:p>
        </w:tc>
      </w:tr>
      <w:tr w14:paraId="4938718C">
        <w:tblPrEx>
          <w:tblCellMar>
            <w:top w:w="0" w:type="dxa"/>
            <w:left w:w="108" w:type="dxa"/>
            <w:bottom w:w="0" w:type="dxa"/>
            <w:right w:w="108" w:type="dxa"/>
          </w:tblCellMar>
        </w:tblPrEx>
        <w:trPr>
          <w:trHeight w:val="617" w:hRule="atLeast"/>
        </w:trPr>
        <w:tc>
          <w:tcPr>
            <w:tcW w:w="5000" w:type="pct"/>
            <w:gridSpan w:val="9"/>
            <w:tcBorders>
              <w:top w:val="nil"/>
              <w:left w:val="nil"/>
              <w:bottom w:val="nil"/>
              <w:right w:val="nil"/>
            </w:tcBorders>
            <w:shd w:val="clear" w:color="auto" w:fill="auto"/>
            <w:noWrap/>
            <w:vAlign w:val="center"/>
          </w:tcPr>
          <w:p w14:paraId="5695BB1F">
            <w:r>
              <w:rPr>
                <w:rFonts w:hint="eastAsia"/>
                <w:lang w:bidi="ar"/>
              </w:rPr>
              <w:t>(一) 符号意义：“√”表示正确（或完整），各项完全相符；“×”表示不正确（或不完整）， 有一项不符均属之；“NA”表示不适用或不涉及</w:t>
            </w:r>
          </w:p>
        </w:tc>
      </w:tr>
      <w:tr w14:paraId="74793841">
        <w:tblPrEx>
          <w:tblCellMar>
            <w:top w:w="0" w:type="dxa"/>
            <w:left w:w="108" w:type="dxa"/>
            <w:bottom w:w="0" w:type="dxa"/>
            <w:right w:w="108" w:type="dxa"/>
          </w:tblCellMar>
        </w:tblPrEx>
        <w:trPr>
          <w:trHeight w:val="309" w:hRule="atLeast"/>
        </w:trPr>
        <w:tc>
          <w:tcPr>
            <w:tcW w:w="5000" w:type="pct"/>
            <w:gridSpan w:val="9"/>
            <w:tcBorders>
              <w:top w:val="nil"/>
              <w:left w:val="nil"/>
              <w:bottom w:val="nil"/>
              <w:right w:val="nil"/>
            </w:tcBorders>
            <w:shd w:val="clear" w:color="auto" w:fill="auto"/>
            <w:noWrap/>
            <w:vAlign w:val="center"/>
          </w:tcPr>
          <w:p w14:paraId="1568E72C">
            <w:r>
              <w:rPr>
                <w:rFonts w:hint="eastAsia"/>
                <w:lang w:bidi="ar"/>
              </w:rPr>
              <w:t>二、计算公式</w:t>
            </w:r>
          </w:p>
        </w:tc>
      </w:tr>
      <w:tr w14:paraId="0CD95B0D">
        <w:tblPrEx>
          <w:tblCellMar>
            <w:top w:w="0" w:type="dxa"/>
            <w:left w:w="108" w:type="dxa"/>
            <w:bottom w:w="0" w:type="dxa"/>
            <w:right w:w="108" w:type="dxa"/>
          </w:tblCellMar>
        </w:tblPrEx>
        <w:trPr>
          <w:trHeight w:val="638" w:hRule="atLeast"/>
        </w:trPr>
        <w:tc>
          <w:tcPr>
            <w:tcW w:w="5000" w:type="pct"/>
            <w:gridSpan w:val="9"/>
            <w:tcBorders>
              <w:top w:val="nil"/>
              <w:left w:val="nil"/>
              <w:bottom w:val="nil"/>
              <w:right w:val="nil"/>
            </w:tcBorders>
            <w:shd w:val="clear" w:color="auto" w:fill="auto"/>
            <w:vAlign w:val="center"/>
          </w:tcPr>
          <w:p w14:paraId="69701B6F">
            <w:r>
              <w:rPr>
                <w:rFonts w:hint="eastAsia"/>
                <w:lang w:bidi="ar"/>
              </w:rPr>
              <w:t>（一）医疗护理员服务管理落实率（%）=检查完全正确（或完整）项目数/（总的检查项目数-不适用项目数）×100%</w:t>
            </w:r>
          </w:p>
        </w:tc>
      </w:tr>
      <w:tr w14:paraId="119443AD">
        <w:tblPrEx>
          <w:tblCellMar>
            <w:top w:w="0" w:type="dxa"/>
            <w:left w:w="108" w:type="dxa"/>
            <w:bottom w:w="0" w:type="dxa"/>
            <w:right w:w="108" w:type="dxa"/>
          </w:tblCellMar>
        </w:tblPrEx>
        <w:trPr>
          <w:trHeight w:val="309" w:hRule="atLeast"/>
        </w:trPr>
        <w:tc>
          <w:tcPr>
            <w:tcW w:w="5000" w:type="pct"/>
            <w:gridSpan w:val="9"/>
            <w:tcBorders>
              <w:top w:val="nil"/>
              <w:left w:val="nil"/>
              <w:bottom w:val="nil"/>
              <w:right w:val="nil"/>
            </w:tcBorders>
            <w:shd w:val="clear" w:color="auto" w:fill="auto"/>
            <w:noWrap/>
            <w:vAlign w:val="center"/>
          </w:tcPr>
          <w:p w14:paraId="0986C084">
            <w:r>
              <w:rPr>
                <w:rFonts w:hint="eastAsia"/>
                <w:lang w:bidi="ar"/>
              </w:rPr>
              <w:t>（二）单项正确或完整率（%）=各单项检查结果正确（或完整）人数/（总的检查人数-不适用人数）×100%</w:t>
            </w:r>
          </w:p>
        </w:tc>
      </w:tr>
    </w:tbl>
    <w:p w14:paraId="5AF39E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C58AF"/>
    <w:multiLevelType w:val="multilevel"/>
    <w:tmpl w:val="35EC5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B4049"/>
    <w:multiLevelType w:val="singleLevel"/>
    <w:tmpl w:val="60FB4049"/>
    <w:lvl w:ilvl="0" w:tentative="0">
      <w:start w:val="1"/>
      <w:numFmt w:val="chineseCounting"/>
      <w:suff w:val="nothing"/>
      <w:lvlText w:val="（%1）"/>
      <w:lvlJc w:val="left"/>
      <w:pPr>
        <w:ind w:left="0" w:firstLine="420"/>
      </w:pPr>
      <w:rPr>
        <w:rFonts w:hint="eastAsia"/>
      </w:rPr>
    </w:lvl>
  </w:abstractNum>
  <w:abstractNum w:abstractNumId="2">
    <w:nsid w:val="632C17BA"/>
    <w:multiLevelType w:val="singleLevel"/>
    <w:tmpl w:val="632C17BA"/>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B7231"/>
    <w:rsid w:val="084E7C95"/>
    <w:rsid w:val="1EBB7231"/>
    <w:rsid w:val="49614E99"/>
    <w:rsid w:val="587E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0" w:lineRule="exact"/>
    </w:pPr>
    <w:rPr>
      <w:rFonts w:ascii="Calibri" w:hAnsi="Calibri" w:eastAsia="宋体" w:cs="宋体"/>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line="520" w:lineRule="exact"/>
      <w:jc w:val="center"/>
    </w:p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unhideWhenUsed/>
    <w:qFormat/>
    <w:uiPriority w:val="99"/>
  </w:style>
  <w:style w:type="paragraph" w:customStyle="1" w:styleId="9">
    <w:name w:val="正文首行缩进两字符"/>
    <w:basedOn w:val="1"/>
    <w:qFormat/>
    <w:uiPriority w:val="99"/>
    <w:pPr>
      <w:spacing w:line="360" w:lineRule="auto"/>
      <w:ind w:firstLine="200" w:firstLineChars="200"/>
    </w:pPr>
    <w:rPr>
      <w:rFonts w:ascii="宋体" w:hAnsi="宋体" w:cstheme="minorBidi"/>
      <w:sz w:val="34"/>
      <w:szCs w:val="24"/>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4270</Words>
  <Characters>4463</Characters>
  <Lines>0</Lines>
  <Paragraphs>0</Paragraphs>
  <TotalTime>15</TotalTime>
  <ScaleCrop>false</ScaleCrop>
  <LinksUpToDate>false</LinksUpToDate>
  <CharactersWithSpaces>4583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2025-08-18T01:03:00Z</dcterms:created>
  <dc:creator>菲主流</dc:creator>
  <cp:lastModifiedBy>菲主流</cp:lastModifiedBy>
  <cp:lastPrinted>2025-08-18T02:47:00Z</cp:lastPrinted>
  <dcterms:modified xsi:type="dcterms:W3CDTF">2025-08-18T02:59:03Z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6CAC0ADC40E3494D986FDA430EC198D1_11</vt:lpwstr>
  </property>
  <property fmtid="{D5CDD505-2E9C-101B-9397-08002B2CF9AE}" pid="4" name="KSOTemplateDocerSaveRecord">
    <vt:lpwstr>eyJoZGlkIjoiZmQyZTY0OWFjZTY0MTJhNzNmYTdlN2QzYzNkYmNkNGEiLCJ1c2VySWQiOiI3MDQ0NTM1OTUifQ==</vt:lpwstr>
  </property>
</Properties>
</file>